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CF43E" w14:textId="7F1738D7" w:rsidR="00F72751" w:rsidRPr="00F31F5C" w:rsidRDefault="003F2BEC" w:rsidP="003F2BEC">
      <w:pPr>
        <w:pStyle w:val="Overskrift1"/>
        <w:rPr>
          <w:color w:val="auto"/>
        </w:rPr>
      </w:pPr>
      <w:bookmarkStart w:id="0" w:name="_GoBack"/>
      <w:bookmarkEnd w:id="0"/>
      <w:r w:rsidRPr="00F31F5C">
        <w:rPr>
          <w:color w:val="auto"/>
        </w:rPr>
        <w:t xml:space="preserve">Vedlegg 3 – </w:t>
      </w:r>
      <w:r w:rsidR="00F72751" w:rsidRPr="00F31F5C">
        <w:rPr>
          <w:color w:val="auto"/>
        </w:rPr>
        <w:t>Retningslinjer for sladding av tilbud</w:t>
      </w:r>
    </w:p>
    <w:p w14:paraId="3992DFBE" w14:textId="77777777" w:rsidR="00F72751" w:rsidRPr="00F31F5C" w:rsidRDefault="00F72751" w:rsidP="00F72751">
      <w:pPr>
        <w:pStyle w:val="Overskrift1"/>
        <w:numPr>
          <w:ilvl w:val="0"/>
          <w:numId w:val="7"/>
        </w:numPr>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Innledning</w:t>
      </w:r>
    </w:p>
    <w:p w14:paraId="529E412E" w14:textId="77777777" w:rsidR="00F72751" w:rsidRPr="00F31F5C" w:rsidRDefault="00F72751" w:rsidP="00F72751">
      <w:pPr>
        <w:rPr>
          <w:rFonts w:ascii="Calibri" w:eastAsia="Calibri" w:hAnsi="Calibri"/>
          <w:sz w:val="22"/>
          <w:szCs w:val="22"/>
          <w:lang w:eastAsia="en-US"/>
        </w:rPr>
      </w:pPr>
      <w:r w:rsidRPr="00F31F5C">
        <w:rPr>
          <w:rFonts w:ascii="Calibri" w:eastAsia="Calibri" w:hAnsi="Calibri"/>
          <w:sz w:val="22"/>
          <w:szCs w:val="22"/>
          <w:lang w:eastAsia="en-US"/>
        </w:rPr>
        <w:t>Det følger av Forskrift om offentlige anskaffelser (</w:t>
      </w:r>
      <w:proofErr w:type="spellStart"/>
      <w:r w:rsidRPr="00F31F5C">
        <w:rPr>
          <w:rFonts w:ascii="Calibri" w:eastAsia="Calibri" w:hAnsi="Calibri"/>
          <w:sz w:val="22"/>
          <w:szCs w:val="22"/>
          <w:lang w:eastAsia="en-US"/>
        </w:rPr>
        <w:t>anskaffelsesforskriften</w:t>
      </w:r>
      <w:proofErr w:type="spellEnd"/>
      <w:r w:rsidRPr="00F31F5C">
        <w:rPr>
          <w:rFonts w:ascii="Calibri" w:eastAsia="Calibri" w:hAnsi="Calibri"/>
          <w:sz w:val="22"/>
          <w:szCs w:val="22"/>
          <w:lang w:eastAsia="en-US"/>
        </w:rPr>
        <w:t xml:space="preserve">) § 7-3 at </w:t>
      </w:r>
      <w:proofErr w:type="spellStart"/>
      <w:r w:rsidRPr="00F31F5C">
        <w:rPr>
          <w:rFonts w:ascii="Calibri" w:eastAsia="Calibri" w:hAnsi="Calibri"/>
          <w:sz w:val="22"/>
          <w:szCs w:val="22"/>
          <w:lang w:eastAsia="en-US"/>
        </w:rPr>
        <w:t>offentleglova</w:t>
      </w:r>
      <w:proofErr w:type="spellEnd"/>
      <w:r w:rsidRPr="00F31F5C">
        <w:rPr>
          <w:rFonts w:ascii="Calibri" w:eastAsia="Calibri" w:hAnsi="Calibri"/>
          <w:sz w:val="22"/>
          <w:szCs w:val="22"/>
          <w:lang w:eastAsia="en-US"/>
        </w:rPr>
        <w:t xml:space="preserve"> gjelder for allmennhetens innsyn i tilbud og anskaffelsesprotokoller. Lov om rett til innsyn i dokument i </w:t>
      </w:r>
      <w:proofErr w:type="spellStart"/>
      <w:r w:rsidRPr="00F31F5C">
        <w:rPr>
          <w:rFonts w:ascii="Calibri" w:eastAsia="Calibri" w:hAnsi="Calibri"/>
          <w:sz w:val="22"/>
          <w:szCs w:val="22"/>
          <w:lang w:eastAsia="en-US"/>
        </w:rPr>
        <w:t>offentleg</w:t>
      </w:r>
      <w:proofErr w:type="spellEnd"/>
      <w:r w:rsidRPr="00F31F5C">
        <w:rPr>
          <w:rFonts w:ascii="Calibri" w:eastAsia="Calibri" w:hAnsi="Calibri"/>
          <w:sz w:val="22"/>
          <w:szCs w:val="22"/>
          <w:lang w:eastAsia="en-US"/>
        </w:rPr>
        <w:t xml:space="preserve"> </w:t>
      </w:r>
      <w:proofErr w:type="spellStart"/>
      <w:r w:rsidRPr="00F31F5C">
        <w:rPr>
          <w:rFonts w:ascii="Calibri" w:eastAsia="Calibri" w:hAnsi="Calibri"/>
          <w:sz w:val="22"/>
          <w:szCs w:val="22"/>
          <w:lang w:eastAsia="en-US"/>
        </w:rPr>
        <w:t>verksemd</w:t>
      </w:r>
      <w:proofErr w:type="spellEnd"/>
      <w:r w:rsidRPr="00F31F5C">
        <w:rPr>
          <w:rFonts w:ascii="Calibri" w:eastAsia="Calibri" w:hAnsi="Calibri"/>
          <w:sz w:val="22"/>
          <w:szCs w:val="22"/>
          <w:lang w:eastAsia="en-US"/>
        </w:rPr>
        <w:t xml:space="preserve"> av 19.mai 2006 nr. 16 (</w:t>
      </w:r>
      <w:proofErr w:type="spellStart"/>
      <w:r w:rsidRPr="00F31F5C">
        <w:rPr>
          <w:rFonts w:ascii="Calibri" w:eastAsia="Calibri" w:hAnsi="Calibri"/>
          <w:sz w:val="22"/>
          <w:szCs w:val="22"/>
          <w:lang w:eastAsia="en-US"/>
        </w:rPr>
        <w:t>offentleglova</w:t>
      </w:r>
      <w:proofErr w:type="spellEnd"/>
      <w:r w:rsidRPr="00F31F5C">
        <w:rPr>
          <w:rFonts w:ascii="Calibri" w:eastAsia="Calibri" w:hAnsi="Calibri"/>
          <w:sz w:val="22"/>
          <w:szCs w:val="22"/>
          <w:lang w:eastAsia="en-US"/>
        </w:rPr>
        <w:t>) har som formål å styrke retten til innsyn i saksdokument i forvaltningen. Det eksisterer en rett for allmennheten til å gjøre seg kjent med innholdet av alle saksdokumenter i offentlig virksomhet. Unntak fra innsynet i alle dokumenter krever hjemmel i loven selv eller annen lov eller forskrift gitt med grunnlag i lov.</w:t>
      </w:r>
    </w:p>
    <w:p w14:paraId="1C3774A7" w14:textId="77777777" w:rsidR="00F72751" w:rsidRPr="00F31F5C" w:rsidRDefault="00F72751" w:rsidP="00F72751">
      <w:pPr>
        <w:ind w:left="360"/>
        <w:rPr>
          <w:rFonts w:ascii="Calibri" w:eastAsia="Calibri" w:hAnsi="Calibri"/>
          <w:sz w:val="22"/>
          <w:szCs w:val="22"/>
          <w:lang w:eastAsia="en-US"/>
        </w:rPr>
      </w:pPr>
    </w:p>
    <w:p w14:paraId="1682F693" w14:textId="77777777" w:rsidR="00F72751" w:rsidRPr="00F31F5C" w:rsidRDefault="00F72751" w:rsidP="00F72751">
      <w:pPr>
        <w:rPr>
          <w:rFonts w:ascii="Calibri" w:eastAsia="Calibri" w:hAnsi="Calibri"/>
          <w:sz w:val="22"/>
          <w:szCs w:val="22"/>
          <w:lang w:eastAsia="en-US"/>
        </w:rPr>
      </w:pPr>
      <w:r w:rsidRPr="00F31F5C">
        <w:rPr>
          <w:rFonts w:ascii="Calibri" w:eastAsia="Calibri" w:hAnsi="Calibri"/>
          <w:sz w:val="22"/>
          <w:szCs w:val="22"/>
          <w:lang w:eastAsia="en-US"/>
        </w:rPr>
        <w:t xml:space="preserve">Det foreligger tre hensyn som begrunner prinsippet om rett til å kreve innsyn i saksdokumenter i forvaltningen; 1) demokratihensynet, 2) kontrollhensynet, og 3) rettssikkerhetshensynet. I </w:t>
      </w:r>
      <w:proofErr w:type="spellStart"/>
      <w:r w:rsidRPr="00F31F5C">
        <w:rPr>
          <w:rFonts w:ascii="Calibri" w:eastAsia="Calibri" w:hAnsi="Calibri"/>
          <w:sz w:val="22"/>
          <w:szCs w:val="22"/>
          <w:lang w:eastAsia="en-US"/>
        </w:rPr>
        <w:t>offentleglova</w:t>
      </w:r>
      <w:proofErr w:type="spellEnd"/>
      <w:r w:rsidRPr="00F31F5C">
        <w:rPr>
          <w:rFonts w:ascii="Calibri" w:eastAsia="Calibri" w:hAnsi="Calibri"/>
          <w:sz w:val="22"/>
          <w:szCs w:val="22"/>
          <w:lang w:eastAsia="en-US"/>
        </w:rPr>
        <w:t xml:space="preserve"> § 1 eksisterer det en tydeliggjøring av hensynene bak offentlighetsprinsippet, og denne bestemmelsen bør være en del av bakgrunnen for at det fremmes krav om innsyn. </w:t>
      </w:r>
    </w:p>
    <w:p w14:paraId="393A18F4" w14:textId="77777777" w:rsidR="00F72751" w:rsidRPr="00F31F5C" w:rsidRDefault="00F72751" w:rsidP="00F72751">
      <w:pPr>
        <w:ind w:left="360"/>
        <w:rPr>
          <w:rFonts w:ascii="Calibri" w:eastAsia="Calibri" w:hAnsi="Calibri"/>
          <w:sz w:val="22"/>
          <w:szCs w:val="22"/>
          <w:lang w:eastAsia="en-US"/>
        </w:rPr>
      </w:pPr>
    </w:p>
    <w:p w14:paraId="04DC2149" w14:textId="77777777" w:rsidR="00F72751" w:rsidRPr="00F31F5C" w:rsidRDefault="00F72751" w:rsidP="00F72751">
      <w:pPr>
        <w:rPr>
          <w:rFonts w:ascii="Calibri" w:eastAsia="Calibri" w:hAnsi="Calibri"/>
          <w:sz w:val="22"/>
          <w:szCs w:val="22"/>
          <w:lang w:eastAsia="en-US"/>
        </w:rPr>
      </w:pPr>
      <w:r w:rsidRPr="00F31F5C">
        <w:rPr>
          <w:rFonts w:ascii="Calibri" w:eastAsia="Calibri" w:hAnsi="Calibri"/>
          <w:sz w:val="22"/>
          <w:szCs w:val="22"/>
          <w:lang w:eastAsia="en-US"/>
        </w:rPr>
        <w:t xml:space="preserve">Denne veiledningen har som formål å gi veiledning til leverandører som har fått mulighet til å uttale seg ved å levere en sladdet versjon av sitt tilbud før andre leverandører gis innsyn i tilbudet. Veiledningen søker å synliggjøre hvilke opplysninger i tilbudet som vil være omfattet av unntak og som derav kan sladdes. </w:t>
      </w:r>
    </w:p>
    <w:p w14:paraId="687ED032" w14:textId="3186C818" w:rsidR="00F72751" w:rsidRPr="00F31F5C" w:rsidRDefault="00F72751" w:rsidP="00F72751">
      <w:pPr>
        <w:pStyle w:val="Overskrift1"/>
        <w:numPr>
          <w:ilvl w:val="0"/>
          <w:numId w:val="7"/>
        </w:numPr>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Hovedregel</w:t>
      </w:r>
    </w:p>
    <w:p w14:paraId="6405FCC2" w14:textId="77777777" w:rsidR="00F72751" w:rsidRPr="003F2BEC" w:rsidRDefault="00F72751" w:rsidP="00F72751">
      <w:pPr>
        <w:rPr>
          <w:rFonts w:asciiTheme="minorHAnsi" w:hAnsiTheme="minorHAnsi"/>
          <w:sz w:val="22"/>
          <w:szCs w:val="22"/>
        </w:rPr>
      </w:pPr>
      <w:r w:rsidRPr="003F2BEC">
        <w:rPr>
          <w:rFonts w:asciiTheme="minorHAnsi" w:hAnsiTheme="minorHAnsi"/>
          <w:sz w:val="22"/>
          <w:szCs w:val="22"/>
        </w:rPr>
        <w:t xml:space="preserve">Ved krav om innsyn er hovedregelen angitt i </w:t>
      </w:r>
      <w:proofErr w:type="spellStart"/>
      <w:r w:rsidRPr="003F2BEC">
        <w:rPr>
          <w:rFonts w:asciiTheme="minorHAnsi" w:hAnsiTheme="minorHAnsi"/>
          <w:sz w:val="22"/>
          <w:szCs w:val="22"/>
        </w:rPr>
        <w:t>offentleglova</w:t>
      </w:r>
      <w:proofErr w:type="spellEnd"/>
      <w:r w:rsidRPr="003F2BEC">
        <w:rPr>
          <w:rFonts w:asciiTheme="minorHAnsi" w:hAnsiTheme="minorHAnsi"/>
          <w:sz w:val="22"/>
          <w:szCs w:val="22"/>
        </w:rPr>
        <w:t xml:space="preserve"> § 3 der det spesifiseres at: «</w:t>
      </w:r>
      <w:r w:rsidRPr="003F2BEC">
        <w:rPr>
          <w:rFonts w:asciiTheme="minorHAnsi" w:hAnsiTheme="minorHAnsi"/>
          <w:i/>
          <w:sz w:val="22"/>
          <w:szCs w:val="22"/>
        </w:rPr>
        <w:t xml:space="preserve">Saksdokument, journaler, og </w:t>
      </w:r>
      <w:proofErr w:type="spellStart"/>
      <w:r w:rsidRPr="003F2BEC">
        <w:rPr>
          <w:rFonts w:asciiTheme="minorHAnsi" w:hAnsiTheme="minorHAnsi"/>
          <w:i/>
          <w:sz w:val="22"/>
          <w:szCs w:val="22"/>
        </w:rPr>
        <w:t>likande</w:t>
      </w:r>
      <w:proofErr w:type="spellEnd"/>
      <w:r w:rsidRPr="003F2BEC">
        <w:rPr>
          <w:rFonts w:asciiTheme="minorHAnsi" w:hAnsiTheme="minorHAnsi"/>
          <w:i/>
          <w:sz w:val="22"/>
          <w:szCs w:val="22"/>
        </w:rPr>
        <w:t xml:space="preserve"> register for organet er </w:t>
      </w:r>
      <w:proofErr w:type="spellStart"/>
      <w:r w:rsidRPr="003F2BEC">
        <w:rPr>
          <w:rFonts w:asciiTheme="minorHAnsi" w:hAnsiTheme="minorHAnsi"/>
          <w:i/>
          <w:sz w:val="22"/>
          <w:szCs w:val="22"/>
        </w:rPr>
        <w:t>opne</w:t>
      </w:r>
      <w:proofErr w:type="spellEnd"/>
      <w:r w:rsidRPr="003F2BEC">
        <w:rPr>
          <w:rFonts w:asciiTheme="minorHAnsi" w:hAnsiTheme="minorHAnsi"/>
          <w:i/>
          <w:sz w:val="22"/>
          <w:szCs w:val="22"/>
        </w:rPr>
        <w:t xml:space="preserve"> for innsyn dersom </w:t>
      </w:r>
      <w:proofErr w:type="spellStart"/>
      <w:r w:rsidRPr="003F2BEC">
        <w:rPr>
          <w:rFonts w:asciiTheme="minorHAnsi" w:hAnsiTheme="minorHAnsi"/>
          <w:i/>
          <w:sz w:val="22"/>
          <w:szCs w:val="22"/>
        </w:rPr>
        <w:t>ikkje</w:t>
      </w:r>
      <w:proofErr w:type="spellEnd"/>
      <w:r w:rsidRPr="003F2BEC">
        <w:rPr>
          <w:rFonts w:asciiTheme="minorHAnsi" w:hAnsiTheme="minorHAnsi"/>
          <w:i/>
          <w:sz w:val="22"/>
          <w:szCs w:val="22"/>
        </w:rPr>
        <w:t xml:space="preserve"> anna </w:t>
      </w:r>
      <w:proofErr w:type="gramStart"/>
      <w:r w:rsidRPr="003F2BEC">
        <w:rPr>
          <w:rFonts w:asciiTheme="minorHAnsi" w:hAnsiTheme="minorHAnsi"/>
          <w:i/>
          <w:sz w:val="22"/>
          <w:szCs w:val="22"/>
        </w:rPr>
        <w:t>følgjer</w:t>
      </w:r>
      <w:proofErr w:type="gramEnd"/>
      <w:r w:rsidRPr="003F2BEC">
        <w:rPr>
          <w:rFonts w:asciiTheme="minorHAnsi" w:hAnsiTheme="minorHAnsi"/>
          <w:i/>
          <w:sz w:val="22"/>
          <w:szCs w:val="22"/>
        </w:rPr>
        <w:t xml:space="preserve"> av lov eller forskrift med heimel i lov</w:t>
      </w:r>
      <w:r w:rsidRPr="003F2BEC">
        <w:rPr>
          <w:rFonts w:asciiTheme="minorHAnsi" w:hAnsiTheme="minorHAnsi"/>
          <w:sz w:val="22"/>
          <w:szCs w:val="22"/>
        </w:rPr>
        <w:t xml:space="preserve">». Dette gjelder ikke bare innkommende dokumenter som kommer frem til organet, men også for dokumenter som produseres av organet selv. Det slås videre fast at «alle» kan kreve innsyn i slike dokumenter. Dette betyr at hvem som helst kan kreve innsyn i dokument hos virksomheter. Dette betyr at en også kan kreve innsyn på vegne av andre. Selv om loven er relativt ny, er hovedregelen at innsyn i alle dokument skal vurderes ut fra reglene i den nye loven, uten hensyn til hvor gammelt dokumentet er. </w:t>
      </w:r>
    </w:p>
    <w:p w14:paraId="54BE7C36" w14:textId="77777777" w:rsidR="00F72751" w:rsidRPr="003F2BEC" w:rsidRDefault="00F72751" w:rsidP="00F72751">
      <w:pPr>
        <w:ind w:left="360"/>
        <w:rPr>
          <w:rFonts w:asciiTheme="minorHAnsi" w:hAnsiTheme="minorHAnsi" w:cs="Arial"/>
          <w:color w:val="000000"/>
          <w:sz w:val="22"/>
          <w:szCs w:val="22"/>
        </w:rPr>
      </w:pPr>
    </w:p>
    <w:p w14:paraId="2AB00660" w14:textId="77777777" w:rsidR="00F72751" w:rsidRPr="003F2BEC" w:rsidRDefault="00F72751" w:rsidP="00F72751">
      <w:pPr>
        <w:rPr>
          <w:rFonts w:asciiTheme="minorHAnsi" w:hAnsiTheme="minorHAnsi"/>
          <w:sz w:val="22"/>
          <w:szCs w:val="22"/>
        </w:rPr>
      </w:pPr>
      <w:proofErr w:type="spellStart"/>
      <w:r w:rsidRPr="003F2BEC">
        <w:rPr>
          <w:rFonts w:asciiTheme="minorHAnsi" w:hAnsiTheme="minorHAnsi"/>
          <w:sz w:val="22"/>
          <w:szCs w:val="22"/>
        </w:rPr>
        <w:t>Offentleglova</w:t>
      </w:r>
      <w:proofErr w:type="spellEnd"/>
      <w:r w:rsidRPr="003F2BEC">
        <w:rPr>
          <w:rFonts w:asciiTheme="minorHAnsi" w:hAnsiTheme="minorHAnsi"/>
          <w:sz w:val="22"/>
          <w:szCs w:val="22"/>
        </w:rPr>
        <w:t xml:space="preserve"> pålegger ikke offentlige virksomheter å offentliggjøre dokument av eget tiltak, men loven gir alle som ønsker det en rett til å gjøre seg kjent med dokumentene. Den som vil benytte seg av denne retten må selv ta initiativ til å rette et krav om innsyn til den offentlige virksomhet som har dokumentet. </w:t>
      </w:r>
    </w:p>
    <w:p w14:paraId="6E2827B9" w14:textId="00019D56" w:rsidR="00F72751" w:rsidRPr="00F31F5C" w:rsidRDefault="00F72751" w:rsidP="00F72751">
      <w:pPr>
        <w:pStyle w:val="Overskrift1"/>
        <w:numPr>
          <w:ilvl w:val="0"/>
          <w:numId w:val="7"/>
        </w:numPr>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Unntak fra hovedregel</w:t>
      </w:r>
    </w:p>
    <w:p w14:paraId="1588DF04" w14:textId="77777777" w:rsidR="00F72751" w:rsidRPr="003F2BEC" w:rsidRDefault="00F72751" w:rsidP="00F72751">
      <w:pPr>
        <w:rPr>
          <w:rFonts w:asciiTheme="minorHAnsi" w:hAnsiTheme="minorHAnsi"/>
          <w:sz w:val="22"/>
          <w:szCs w:val="22"/>
        </w:rPr>
      </w:pPr>
      <w:proofErr w:type="spellStart"/>
      <w:r w:rsidRPr="003F2BEC">
        <w:rPr>
          <w:rFonts w:asciiTheme="minorHAnsi" w:hAnsiTheme="minorHAnsi"/>
          <w:iCs/>
          <w:color w:val="191919"/>
          <w:sz w:val="22"/>
          <w:szCs w:val="22"/>
        </w:rPr>
        <w:t>Offentlegloven</w:t>
      </w:r>
      <w:proofErr w:type="spellEnd"/>
      <w:r w:rsidRPr="003F2BEC">
        <w:rPr>
          <w:rFonts w:asciiTheme="minorHAnsi" w:hAnsiTheme="minorHAnsi"/>
          <w:iCs/>
          <w:color w:val="191919"/>
          <w:sz w:val="22"/>
          <w:szCs w:val="22"/>
        </w:rPr>
        <w:t xml:space="preserve"> § 23 slår fast at </w:t>
      </w:r>
      <w:r w:rsidRPr="003F2BEC">
        <w:rPr>
          <w:rFonts w:asciiTheme="minorHAnsi" w:hAnsiTheme="minorHAnsi"/>
          <w:i/>
          <w:iCs/>
          <w:color w:val="191919"/>
          <w:sz w:val="22"/>
          <w:szCs w:val="22"/>
        </w:rPr>
        <w:t xml:space="preserve">”Det kan </w:t>
      </w:r>
      <w:proofErr w:type="spellStart"/>
      <w:r w:rsidRPr="003F2BEC">
        <w:rPr>
          <w:rFonts w:asciiTheme="minorHAnsi" w:hAnsiTheme="minorHAnsi"/>
          <w:i/>
          <w:iCs/>
          <w:color w:val="191919"/>
          <w:sz w:val="22"/>
          <w:szCs w:val="22"/>
        </w:rPr>
        <w:t>gjerast</w:t>
      </w:r>
      <w:proofErr w:type="spellEnd"/>
      <w:r w:rsidRPr="003F2BEC">
        <w:rPr>
          <w:rFonts w:asciiTheme="minorHAnsi" w:hAnsiTheme="minorHAnsi"/>
          <w:i/>
          <w:iCs/>
          <w:color w:val="191919"/>
          <w:sz w:val="22"/>
          <w:szCs w:val="22"/>
        </w:rPr>
        <w:t xml:space="preserve"> unntak </w:t>
      </w:r>
      <w:proofErr w:type="spellStart"/>
      <w:r w:rsidRPr="003F2BEC">
        <w:rPr>
          <w:rFonts w:asciiTheme="minorHAnsi" w:hAnsiTheme="minorHAnsi"/>
          <w:i/>
          <w:iCs/>
          <w:color w:val="191919"/>
          <w:sz w:val="22"/>
          <w:szCs w:val="22"/>
        </w:rPr>
        <w:t>frå</w:t>
      </w:r>
      <w:proofErr w:type="spellEnd"/>
      <w:r w:rsidRPr="003F2BEC">
        <w:rPr>
          <w:rFonts w:asciiTheme="minorHAnsi" w:hAnsiTheme="minorHAnsi"/>
          <w:i/>
          <w:iCs/>
          <w:color w:val="191919"/>
          <w:sz w:val="22"/>
          <w:szCs w:val="22"/>
        </w:rPr>
        <w:t xml:space="preserve"> innsyn for </w:t>
      </w:r>
      <w:proofErr w:type="spellStart"/>
      <w:r w:rsidRPr="003F2BEC">
        <w:rPr>
          <w:rFonts w:asciiTheme="minorHAnsi" w:hAnsiTheme="minorHAnsi"/>
          <w:i/>
          <w:iCs/>
          <w:color w:val="191919"/>
          <w:sz w:val="22"/>
          <w:szCs w:val="22"/>
        </w:rPr>
        <w:t>tilbod</w:t>
      </w:r>
      <w:proofErr w:type="spellEnd"/>
      <w:r w:rsidRPr="003F2BEC">
        <w:rPr>
          <w:rFonts w:asciiTheme="minorHAnsi" w:hAnsiTheme="minorHAnsi"/>
          <w:i/>
          <w:iCs/>
          <w:color w:val="191919"/>
          <w:sz w:val="22"/>
          <w:szCs w:val="22"/>
        </w:rPr>
        <w:t xml:space="preserve"> og protokoll etter regelverk som er gitt i </w:t>
      </w:r>
      <w:proofErr w:type="spellStart"/>
      <w:r w:rsidRPr="003F2BEC">
        <w:rPr>
          <w:rFonts w:asciiTheme="minorHAnsi" w:hAnsiTheme="minorHAnsi"/>
          <w:i/>
          <w:iCs/>
          <w:color w:val="191919"/>
          <w:sz w:val="22"/>
          <w:szCs w:val="22"/>
        </w:rPr>
        <w:t>medhald</w:t>
      </w:r>
      <w:proofErr w:type="spellEnd"/>
      <w:r w:rsidRPr="003F2BEC">
        <w:rPr>
          <w:rFonts w:asciiTheme="minorHAnsi" w:hAnsiTheme="minorHAnsi"/>
          <w:i/>
          <w:iCs/>
          <w:color w:val="191919"/>
          <w:sz w:val="22"/>
          <w:szCs w:val="22"/>
        </w:rPr>
        <w:t xml:space="preserve"> av lov 16. juli 1999 nr. 69 om </w:t>
      </w:r>
      <w:proofErr w:type="spellStart"/>
      <w:r w:rsidRPr="003F2BEC">
        <w:rPr>
          <w:rFonts w:asciiTheme="minorHAnsi" w:hAnsiTheme="minorHAnsi"/>
          <w:i/>
          <w:iCs/>
          <w:color w:val="191919"/>
          <w:sz w:val="22"/>
          <w:szCs w:val="22"/>
        </w:rPr>
        <w:t>offentlege</w:t>
      </w:r>
      <w:proofErr w:type="spellEnd"/>
      <w:r w:rsidRPr="003F2BEC">
        <w:rPr>
          <w:rFonts w:asciiTheme="minorHAnsi" w:hAnsiTheme="minorHAnsi"/>
          <w:i/>
          <w:iCs/>
          <w:color w:val="191919"/>
          <w:sz w:val="22"/>
          <w:szCs w:val="22"/>
        </w:rPr>
        <w:t xml:space="preserve"> innkjøp, til </w:t>
      </w:r>
      <w:proofErr w:type="spellStart"/>
      <w:r w:rsidRPr="003F2BEC">
        <w:rPr>
          <w:rFonts w:asciiTheme="minorHAnsi" w:hAnsiTheme="minorHAnsi"/>
          <w:i/>
          <w:iCs/>
          <w:color w:val="191919"/>
          <w:sz w:val="22"/>
          <w:szCs w:val="22"/>
        </w:rPr>
        <w:t>valet</w:t>
      </w:r>
      <w:proofErr w:type="spellEnd"/>
      <w:r w:rsidRPr="003F2BEC">
        <w:rPr>
          <w:rFonts w:asciiTheme="minorHAnsi" w:hAnsiTheme="minorHAnsi"/>
          <w:i/>
          <w:iCs/>
          <w:color w:val="191919"/>
          <w:sz w:val="22"/>
          <w:szCs w:val="22"/>
        </w:rPr>
        <w:t xml:space="preserve"> av leverandør er gjort.” </w:t>
      </w:r>
      <w:r w:rsidRPr="003F2BEC">
        <w:rPr>
          <w:rFonts w:asciiTheme="minorHAnsi" w:hAnsiTheme="minorHAnsi"/>
          <w:iCs/>
          <w:color w:val="191919"/>
          <w:sz w:val="22"/>
          <w:szCs w:val="22"/>
        </w:rPr>
        <w:t xml:space="preserve">Etter at leverandør er valgt skal tilbudet i sin helhet være tilgjengelig for allmennheten, men de deler av dokumentet som inneholder taushetsbelagte opplysninger skal være unntatt fra innsyn. </w:t>
      </w:r>
      <w:r w:rsidRPr="003F2BEC">
        <w:rPr>
          <w:rFonts w:asciiTheme="minorHAnsi" w:hAnsiTheme="minorHAnsi"/>
          <w:sz w:val="22"/>
          <w:szCs w:val="22"/>
        </w:rPr>
        <w:t xml:space="preserve">Forvaltningen skal derfor nekte innsyn i opplysninger som er underlagt taushetsplikt i lov eller medhold i lov, </w:t>
      </w:r>
      <w:proofErr w:type="spellStart"/>
      <w:r w:rsidRPr="003F2BEC">
        <w:rPr>
          <w:rFonts w:asciiTheme="minorHAnsi" w:hAnsiTheme="minorHAnsi"/>
          <w:sz w:val="22"/>
          <w:szCs w:val="22"/>
        </w:rPr>
        <w:t>jfr</w:t>
      </w:r>
      <w:proofErr w:type="spellEnd"/>
      <w:r w:rsidRPr="003F2BEC">
        <w:rPr>
          <w:rFonts w:asciiTheme="minorHAnsi" w:hAnsiTheme="minorHAnsi"/>
          <w:sz w:val="22"/>
          <w:szCs w:val="22"/>
        </w:rPr>
        <w:t xml:space="preserve"> § 13 første ledd. Det gjøres oppmerksom på at det kan være straffbart å gi ut opplysninger som er underlagt taushetsplikt.  </w:t>
      </w:r>
    </w:p>
    <w:p w14:paraId="3EE06B34" w14:textId="77777777" w:rsidR="00F72751" w:rsidRPr="003F2BEC" w:rsidRDefault="00F72751" w:rsidP="00F72751">
      <w:pPr>
        <w:rPr>
          <w:rFonts w:asciiTheme="minorHAnsi" w:hAnsiTheme="minorHAnsi"/>
          <w:sz w:val="22"/>
          <w:szCs w:val="22"/>
        </w:rPr>
      </w:pPr>
    </w:p>
    <w:p w14:paraId="427D800F" w14:textId="77777777" w:rsidR="00F72751" w:rsidRPr="003F2BEC" w:rsidRDefault="00F72751" w:rsidP="00F72751">
      <w:pPr>
        <w:rPr>
          <w:rFonts w:asciiTheme="minorHAnsi" w:hAnsiTheme="minorHAnsi"/>
          <w:iCs/>
          <w:color w:val="191919"/>
          <w:sz w:val="22"/>
          <w:szCs w:val="22"/>
        </w:rPr>
      </w:pPr>
      <w:r w:rsidRPr="003F2BEC">
        <w:rPr>
          <w:rFonts w:asciiTheme="minorHAnsi" w:hAnsiTheme="minorHAnsi"/>
          <w:sz w:val="22"/>
          <w:szCs w:val="22"/>
        </w:rPr>
        <w:t xml:space="preserve">I det følgende vil det gjøres rede for hvilke opplysninger som regnes for å være «taushetsbelagte», og som dermed skal være unntatt offentlighet. </w:t>
      </w:r>
    </w:p>
    <w:p w14:paraId="08ACC50F" w14:textId="11D4A808" w:rsidR="00F72751" w:rsidRPr="00F31F5C" w:rsidRDefault="00F72751" w:rsidP="00F72751">
      <w:pPr>
        <w:pStyle w:val="Overskrift1"/>
        <w:numPr>
          <w:ilvl w:val="1"/>
          <w:numId w:val="7"/>
        </w:numPr>
        <w:rPr>
          <w:rFonts w:ascii="Calibri" w:eastAsia="Times New Roman" w:hAnsi="Calibri"/>
          <w:bCs w:val="0"/>
          <w:i/>
          <w:iCs/>
          <w:color w:val="auto"/>
          <w:sz w:val="24"/>
          <w:lang w:eastAsia="en-US"/>
        </w:rPr>
      </w:pPr>
      <w:r w:rsidRPr="00F31F5C">
        <w:rPr>
          <w:rFonts w:ascii="Calibri" w:eastAsia="Times New Roman" w:hAnsi="Calibri"/>
          <w:bCs w:val="0"/>
          <w:i/>
          <w:iCs/>
          <w:color w:val="auto"/>
          <w:sz w:val="24"/>
          <w:lang w:eastAsia="en-US"/>
        </w:rPr>
        <w:lastRenderedPageBreak/>
        <w:t>Taushetsbelagte opplysninger</w:t>
      </w:r>
    </w:p>
    <w:p w14:paraId="67108C51" w14:textId="77777777" w:rsidR="00F72751" w:rsidRPr="003F2BEC" w:rsidRDefault="00F72751" w:rsidP="00F72751">
      <w:pPr>
        <w:rPr>
          <w:rFonts w:asciiTheme="minorHAnsi" w:hAnsiTheme="minorHAnsi"/>
          <w:sz w:val="22"/>
          <w:szCs w:val="22"/>
        </w:rPr>
      </w:pPr>
      <w:r w:rsidRPr="003F2BEC">
        <w:rPr>
          <w:rFonts w:asciiTheme="minorHAnsi" w:hAnsiTheme="minorHAnsi"/>
          <w:sz w:val="22"/>
          <w:szCs w:val="22"/>
        </w:rPr>
        <w:t>Taushetsbelagte opplysninger er unntatt fra innsynsretten. Taushetsbelagte opplysninger vil være «</w:t>
      </w:r>
      <w:r w:rsidRPr="003F2BEC">
        <w:rPr>
          <w:rFonts w:asciiTheme="minorHAnsi" w:hAnsiTheme="minorHAnsi"/>
          <w:i/>
          <w:sz w:val="22"/>
          <w:szCs w:val="22"/>
        </w:rPr>
        <w:t>tekniske innretninger og fremgangsmåter samt drifts- eller forretningsforhold som det vil være av konkurransemessig betydning å hemmeligholde av hensyn til den som opplysningen angår</w:t>
      </w:r>
      <w:r w:rsidRPr="003F2BEC">
        <w:rPr>
          <w:rFonts w:asciiTheme="minorHAnsi" w:hAnsiTheme="minorHAnsi"/>
          <w:sz w:val="22"/>
          <w:szCs w:val="22"/>
        </w:rPr>
        <w:t xml:space="preserve">», jfr. lov av 2. oktober 1967 om behandlingsmåten i forvaltningssaker (forvaltningsloven) § 13 første ledd nr. 2.  </w:t>
      </w:r>
    </w:p>
    <w:p w14:paraId="00E3DE4A" w14:textId="77777777" w:rsidR="00F72751" w:rsidRPr="003F2BEC" w:rsidRDefault="00F72751" w:rsidP="00F72751">
      <w:pPr>
        <w:rPr>
          <w:rFonts w:asciiTheme="minorHAnsi" w:hAnsiTheme="minorHAnsi"/>
          <w:sz w:val="22"/>
          <w:szCs w:val="22"/>
        </w:rPr>
      </w:pPr>
    </w:p>
    <w:p w14:paraId="40D36EB6" w14:textId="77777777" w:rsidR="00F72751" w:rsidRPr="003F2BEC" w:rsidRDefault="00F72751" w:rsidP="00F72751">
      <w:pPr>
        <w:rPr>
          <w:rFonts w:asciiTheme="minorHAnsi" w:hAnsiTheme="minorHAnsi"/>
          <w:sz w:val="22"/>
          <w:szCs w:val="22"/>
        </w:rPr>
      </w:pPr>
      <w:r w:rsidRPr="003F2BEC">
        <w:rPr>
          <w:rFonts w:asciiTheme="minorHAnsi" w:hAnsiTheme="minorHAnsi"/>
          <w:sz w:val="22"/>
          <w:szCs w:val="22"/>
        </w:rPr>
        <w:t xml:space="preserve">Bestemmelsen stiller med andre ord krav både til arten av opplysninger – det skal dreie seg om næringsopplysninger – og til den eventuelle virkningen for konkurransen av at opplysningen er gitt ut. For at opplysningene skal være underlagt taushetsplikt må det føre til økonomisk tap eller redusert gevinst for virksomheten dersom de blir kjent, enten direkte eller ved at konkurrenter kan utnytte opplysningene. Taushetsplikten er med andre ord til hinder for at næringsopplysninger som kan ha virkninger for konkurranseforholdet mellom tilbyderne blir gitt ut til andre. Dette gjelder uavhengig av om mottakeren vil eller kan bruke dem i egen virksomhet gi de til andre eller gjøre noe annet som faktisk medfører fare for tap. </w:t>
      </w:r>
    </w:p>
    <w:p w14:paraId="0A4B0DF2" w14:textId="77777777" w:rsidR="00F72751" w:rsidRPr="003F2BEC" w:rsidRDefault="00F72751" w:rsidP="00F72751">
      <w:pPr>
        <w:rPr>
          <w:rFonts w:asciiTheme="minorHAnsi" w:hAnsiTheme="minorHAnsi"/>
          <w:sz w:val="22"/>
          <w:szCs w:val="22"/>
        </w:rPr>
      </w:pPr>
    </w:p>
    <w:p w14:paraId="7C62A2F9" w14:textId="77777777" w:rsidR="00F72751" w:rsidRPr="003F2BEC" w:rsidRDefault="00F72751" w:rsidP="00F72751">
      <w:pPr>
        <w:rPr>
          <w:rFonts w:asciiTheme="minorHAnsi" w:hAnsiTheme="minorHAnsi"/>
          <w:sz w:val="22"/>
          <w:szCs w:val="22"/>
        </w:rPr>
      </w:pPr>
      <w:r w:rsidRPr="003F2BEC">
        <w:rPr>
          <w:rFonts w:asciiTheme="minorHAnsi" w:hAnsiTheme="minorHAnsi"/>
          <w:sz w:val="22"/>
          <w:szCs w:val="22"/>
        </w:rPr>
        <w:t xml:space="preserve">Det vil ikke være grunnlag for å holde hemmelig opplysninger som er allment kjent i bransjen eller tilgjengelig andre steder. Dersom opplysningene eksempelvis har vært omtalt i rapporter og opplysningen anses for å være allment kjent i den aktuelle bransjen, vil ikke opplysningene være underlagt taushetsplikt. Den vanlige innsynsretten etter </w:t>
      </w:r>
      <w:proofErr w:type="spellStart"/>
      <w:r w:rsidRPr="003F2BEC">
        <w:rPr>
          <w:rFonts w:asciiTheme="minorHAnsi" w:hAnsiTheme="minorHAnsi"/>
          <w:sz w:val="22"/>
          <w:szCs w:val="22"/>
        </w:rPr>
        <w:t>offentleglova</w:t>
      </w:r>
      <w:proofErr w:type="spellEnd"/>
      <w:r w:rsidRPr="003F2BEC">
        <w:rPr>
          <w:rFonts w:asciiTheme="minorHAnsi" w:hAnsiTheme="minorHAnsi"/>
          <w:sz w:val="22"/>
          <w:szCs w:val="22"/>
        </w:rPr>
        <w:t xml:space="preserve"> vil da gjelde. Dersom opplysningene omhandler tekniske innretninger, strategier for forretningsdrift og liknende som kan nyttes utenfor bransjen vil det stille seg noe annerledes. Rekkevidden av taushetsplikten vil variere ut ifra hvilken type næringsvirksomhet det er snakk om. Dersom det eksempelvis er snakk om opplysninger som andre kan nytte på tilsvarende måte i egen næringsvirksomhet </w:t>
      </w:r>
      <w:proofErr w:type="gramStart"/>
      <w:r w:rsidRPr="003F2BEC">
        <w:rPr>
          <w:rFonts w:asciiTheme="minorHAnsi" w:hAnsiTheme="minorHAnsi"/>
          <w:sz w:val="22"/>
          <w:szCs w:val="22"/>
        </w:rPr>
        <w:t>–blant</w:t>
      </w:r>
      <w:proofErr w:type="gramEnd"/>
      <w:r w:rsidRPr="003F2BEC">
        <w:rPr>
          <w:rFonts w:asciiTheme="minorHAnsi" w:hAnsiTheme="minorHAnsi"/>
          <w:sz w:val="22"/>
          <w:szCs w:val="22"/>
        </w:rPr>
        <w:t xml:space="preserve"> annet produksjonsmetoder og nye produkter under utvikling – er vi innenfor kjerneområdet for taushetsplikten. </w:t>
      </w:r>
    </w:p>
    <w:p w14:paraId="6F133526" w14:textId="77777777" w:rsidR="00F72751" w:rsidRPr="003F2BEC" w:rsidRDefault="00F72751" w:rsidP="00F72751">
      <w:pPr>
        <w:rPr>
          <w:rFonts w:asciiTheme="minorHAnsi" w:hAnsiTheme="minorHAnsi"/>
          <w:sz w:val="22"/>
          <w:szCs w:val="22"/>
        </w:rPr>
      </w:pPr>
    </w:p>
    <w:p w14:paraId="4EEAD509" w14:textId="77777777" w:rsidR="00F72751" w:rsidRPr="003F2BEC" w:rsidRDefault="00F72751" w:rsidP="00F72751">
      <w:pPr>
        <w:rPr>
          <w:rFonts w:asciiTheme="minorHAnsi" w:hAnsiTheme="minorHAnsi"/>
          <w:sz w:val="22"/>
          <w:szCs w:val="22"/>
        </w:rPr>
      </w:pPr>
      <w:r w:rsidRPr="003F2BEC">
        <w:rPr>
          <w:rFonts w:asciiTheme="minorHAnsi" w:hAnsiTheme="minorHAnsi"/>
          <w:sz w:val="22"/>
          <w:szCs w:val="22"/>
        </w:rPr>
        <w:t>Opplysninger om totalpriser og prismodell er ikke ansett for å være taushetsbelagt, med mindre det foreligger «</w:t>
      </w:r>
      <w:r w:rsidRPr="003F2BEC">
        <w:rPr>
          <w:rFonts w:asciiTheme="minorHAnsi" w:hAnsiTheme="minorHAnsi"/>
          <w:i/>
          <w:sz w:val="22"/>
          <w:szCs w:val="22"/>
        </w:rPr>
        <w:t>særlige omstendigheter som nødvendiggjør dette</w:t>
      </w:r>
      <w:r w:rsidRPr="003F2BEC">
        <w:rPr>
          <w:rFonts w:asciiTheme="minorHAnsi" w:hAnsiTheme="minorHAnsi"/>
          <w:sz w:val="22"/>
          <w:szCs w:val="22"/>
        </w:rPr>
        <w:t xml:space="preserve">». Opplysninger om delpriser, enhetspriser og lignende detaljer i et tilbud vil kunne anses som forretningshemmeligheter da disse regnes for å være en del av tilbyderens «forretningsforhold» som det vil være av «konkurransemessig betydning» å hemmeligholde. </w:t>
      </w:r>
    </w:p>
    <w:p w14:paraId="21FB9935" w14:textId="77777777" w:rsidR="00F72751" w:rsidRPr="003F2BEC" w:rsidRDefault="00F72751" w:rsidP="00F72751">
      <w:pPr>
        <w:rPr>
          <w:rFonts w:asciiTheme="minorHAnsi" w:hAnsiTheme="minorHAnsi"/>
          <w:sz w:val="22"/>
          <w:szCs w:val="22"/>
        </w:rPr>
      </w:pPr>
    </w:p>
    <w:p w14:paraId="4C313F0D" w14:textId="77777777" w:rsidR="00F72751" w:rsidRPr="003F2BEC" w:rsidRDefault="00F72751" w:rsidP="00F72751">
      <w:pPr>
        <w:rPr>
          <w:rFonts w:asciiTheme="minorHAnsi" w:hAnsiTheme="minorHAnsi"/>
          <w:sz w:val="22"/>
          <w:szCs w:val="22"/>
        </w:rPr>
      </w:pPr>
      <w:r w:rsidRPr="003F2BEC">
        <w:rPr>
          <w:rFonts w:asciiTheme="minorHAnsi" w:hAnsiTheme="minorHAnsi"/>
          <w:sz w:val="22"/>
          <w:szCs w:val="22"/>
        </w:rPr>
        <w:t xml:space="preserve">Opplysninger som rent generelt kan ha uheldige virkninger for en virksomhet - eksempelvis opplysninger om økonomisk stilling, administrative forhold, produksjonskapasitet, produksjonskvantum o.l. – faller normalt utenfor taushetsplikten.  </w:t>
      </w:r>
    </w:p>
    <w:p w14:paraId="184CA36D" w14:textId="77777777" w:rsidR="00F72751" w:rsidRPr="003F2BEC" w:rsidRDefault="00F72751" w:rsidP="00F72751">
      <w:pPr>
        <w:rPr>
          <w:rFonts w:asciiTheme="minorHAnsi" w:hAnsiTheme="minorHAnsi"/>
          <w:sz w:val="22"/>
          <w:szCs w:val="22"/>
        </w:rPr>
      </w:pPr>
    </w:p>
    <w:p w14:paraId="0B88B2A7" w14:textId="2339D511" w:rsidR="00F72751" w:rsidRPr="00F31F5C" w:rsidRDefault="00F72751" w:rsidP="00F72751">
      <w:pPr>
        <w:rPr>
          <w:rFonts w:asciiTheme="minorHAnsi" w:hAnsiTheme="minorHAnsi"/>
          <w:color w:val="000000"/>
          <w:sz w:val="22"/>
          <w:szCs w:val="22"/>
        </w:rPr>
      </w:pPr>
      <w:r w:rsidRPr="003F2BEC">
        <w:rPr>
          <w:rFonts w:asciiTheme="minorHAnsi" w:hAnsiTheme="minorHAnsi"/>
          <w:color w:val="000000"/>
          <w:sz w:val="22"/>
          <w:szCs w:val="22"/>
        </w:rPr>
        <w:t xml:space="preserve">Oppdragsgiver har en plikt til å foreta en selvstendig vurdering av hva som skal vurderes som taushetsbelagt informasjon, men kan bli hjulpet godt på vei med innspill fra leverandøren. </w:t>
      </w:r>
    </w:p>
    <w:p w14:paraId="59CA497B" w14:textId="1F227761" w:rsidR="00F72751" w:rsidRPr="00F31F5C" w:rsidRDefault="00F31F5C" w:rsidP="00F72751">
      <w:pPr>
        <w:pStyle w:val="Overskrift1"/>
        <w:numPr>
          <w:ilvl w:val="0"/>
          <w:numId w:val="7"/>
        </w:numPr>
        <w:rPr>
          <w:rFonts w:asciiTheme="minorHAnsi" w:eastAsia="Times New Roman" w:hAnsiTheme="minorHAnsi"/>
          <w:color w:val="auto"/>
          <w:szCs w:val="32"/>
          <w:lang w:eastAsia="en-US"/>
        </w:rPr>
      </w:pPr>
      <w:r w:rsidRPr="00F31F5C">
        <w:rPr>
          <w:rFonts w:asciiTheme="minorHAnsi" w:eastAsia="Times New Roman" w:hAnsiTheme="minorHAnsi"/>
          <w:color w:val="auto"/>
          <w:szCs w:val="32"/>
          <w:lang w:eastAsia="en-US"/>
        </w:rPr>
        <w:t>Sladding av opplysninger i til</w:t>
      </w:r>
      <w:r w:rsidR="00F72751" w:rsidRPr="00F31F5C">
        <w:rPr>
          <w:rFonts w:asciiTheme="minorHAnsi" w:eastAsia="Times New Roman" w:hAnsiTheme="minorHAnsi"/>
          <w:color w:val="auto"/>
          <w:szCs w:val="32"/>
          <w:lang w:eastAsia="en-US"/>
        </w:rPr>
        <w:t>bud</w:t>
      </w:r>
    </w:p>
    <w:p w14:paraId="4071E679" w14:textId="77777777" w:rsidR="00F72751" w:rsidRPr="003F2BEC" w:rsidRDefault="00F72751" w:rsidP="00F72751">
      <w:pPr>
        <w:rPr>
          <w:rFonts w:asciiTheme="minorHAnsi" w:hAnsiTheme="minorHAnsi"/>
          <w:color w:val="000000"/>
          <w:sz w:val="22"/>
          <w:szCs w:val="22"/>
        </w:rPr>
      </w:pPr>
      <w:r w:rsidRPr="003F2BEC">
        <w:rPr>
          <w:rFonts w:asciiTheme="minorHAnsi" w:hAnsiTheme="minorHAnsi"/>
          <w:color w:val="000000"/>
          <w:sz w:val="22"/>
          <w:szCs w:val="22"/>
        </w:rPr>
        <w:t>Tilbyder plikter å påse at sladdet versjon er utformet på en slik måte at sladding ikke kan fjernes av mottaker.</w:t>
      </w:r>
    </w:p>
    <w:p w14:paraId="5A7C96AD" w14:textId="77777777" w:rsidR="00F72751" w:rsidRPr="003F2BEC" w:rsidRDefault="00F72751" w:rsidP="00F72751">
      <w:pPr>
        <w:rPr>
          <w:rFonts w:asciiTheme="minorHAnsi" w:hAnsiTheme="minorHAnsi" w:cstheme="minorHAnsi"/>
          <w:sz w:val="22"/>
          <w:szCs w:val="22"/>
        </w:rPr>
      </w:pPr>
    </w:p>
    <w:p w14:paraId="2ADFB398" w14:textId="43D5AE6E" w:rsidR="00643BA7" w:rsidRPr="003F2BEC" w:rsidRDefault="00643BA7" w:rsidP="00264C5E">
      <w:pPr>
        <w:rPr>
          <w:rFonts w:asciiTheme="minorHAnsi" w:hAnsiTheme="minorHAnsi" w:cstheme="minorHAnsi"/>
          <w:sz w:val="22"/>
          <w:szCs w:val="22"/>
        </w:rPr>
      </w:pPr>
    </w:p>
    <w:sectPr w:rsidR="00643BA7" w:rsidRPr="003F2BEC" w:rsidSect="00233118">
      <w:headerReference w:type="default" r:id="rId12"/>
      <w:footerReference w:type="default" r:id="rId13"/>
      <w:pgSz w:w="11906" w:h="16838" w:code="9"/>
      <w:pgMar w:top="1417" w:right="1417" w:bottom="1417" w:left="1417" w:header="709" w:footer="709" w:gutter="0"/>
      <w:paperSrc w:first="260"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1C8B3" w14:textId="77777777" w:rsidR="00B04502" w:rsidRDefault="00B04502">
      <w:r>
        <w:separator/>
      </w:r>
    </w:p>
  </w:endnote>
  <w:endnote w:type="continuationSeparator" w:id="0">
    <w:p w14:paraId="38220A49" w14:textId="77777777" w:rsidR="00B04502" w:rsidRDefault="00B0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46602"/>
      <w:docPartObj>
        <w:docPartGallery w:val="Page Numbers (Bottom of Page)"/>
        <w:docPartUnique/>
      </w:docPartObj>
    </w:sdtPr>
    <w:sdtEndPr/>
    <w:sdtContent>
      <w:p w14:paraId="7887D4C8" w14:textId="77777777" w:rsidR="001928AC" w:rsidRDefault="001928AC">
        <w:pPr>
          <w:pStyle w:val="Bunntekst"/>
          <w:jc w:val="right"/>
        </w:pPr>
        <w:r>
          <w:fldChar w:fldCharType="begin"/>
        </w:r>
        <w:r>
          <w:instrText>PAGE   \* MERGEFORMAT</w:instrText>
        </w:r>
        <w:r>
          <w:fldChar w:fldCharType="separate"/>
        </w:r>
        <w:r w:rsidR="008D6FF2">
          <w:rPr>
            <w:noProof/>
          </w:rPr>
          <w:t>2</w:t>
        </w:r>
        <w:r>
          <w:fldChar w:fldCharType="end"/>
        </w:r>
      </w:p>
    </w:sdtContent>
  </w:sdt>
  <w:p w14:paraId="0DFAF140" w14:textId="77777777" w:rsidR="001928AC" w:rsidRDefault="001928A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4D0A" w14:textId="77777777" w:rsidR="00B04502" w:rsidRDefault="00B04502">
      <w:r>
        <w:separator/>
      </w:r>
    </w:p>
  </w:footnote>
  <w:footnote w:type="continuationSeparator" w:id="0">
    <w:p w14:paraId="4B04F697" w14:textId="77777777" w:rsidR="00B04502" w:rsidRDefault="00B0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D831" w14:textId="4BA8B79C" w:rsidR="00C228BC" w:rsidRDefault="00F57810">
    <w:pPr>
      <w:pStyle w:val="Topptekst"/>
    </w:pPr>
    <w:r>
      <w:rPr>
        <w:noProof/>
      </w:rPr>
      <w:drawing>
        <wp:inline distT="0" distB="0" distL="0" distR="0" wp14:anchorId="7E1894D8" wp14:editId="101315B6">
          <wp:extent cx="1339200" cy="23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E54"/>
    <w:multiLevelType w:val="hybridMultilevel"/>
    <w:tmpl w:val="BE96F85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C124C99"/>
    <w:multiLevelType w:val="multilevel"/>
    <w:tmpl w:val="FB12AE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E607A5"/>
    <w:multiLevelType w:val="hybridMultilevel"/>
    <w:tmpl w:val="A5064D48"/>
    <w:lvl w:ilvl="0" w:tplc="F978FF6E">
      <w:start w:val="20"/>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3">
    <w:nsid w:val="4321151B"/>
    <w:multiLevelType w:val="hybridMultilevel"/>
    <w:tmpl w:val="0BE472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6595352"/>
    <w:multiLevelType w:val="hybridMultilevel"/>
    <w:tmpl w:val="C7C41D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E5947B0"/>
    <w:multiLevelType w:val="multilevel"/>
    <w:tmpl w:val="A726D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D202B3A"/>
    <w:multiLevelType w:val="hybridMultilevel"/>
    <w:tmpl w:val="FA9A7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1C32206"/>
    <w:multiLevelType w:val="hybridMultilevel"/>
    <w:tmpl w:val="52888D1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521367C"/>
    <w:multiLevelType w:val="multilevel"/>
    <w:tmpl w:val="D4740B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BF40AC7"/>
    <w:multiLevelType w:val="hybridMultilevel"/>
    <w:tmpl w:val="5230900A"/>
    <w:lvl w:ilvl="0" w:tplc="64C08734">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4"/>
  </w:num>
  <w:num w:numId="6">
    <w:abstractNumId w:val="6"/>
  </w:num>
  <w:num w:numId="7">
    <w:abstractNumId w:val="5"/>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67"/>
    <w:rsid w:val="00006AFB"/>
    <w:rsid w:val="00013305"/>
    <w:rsid w:val="00026692"/>
    <w:rsid w:val="00035EC9"/>
    <w:rsid w:val="00036741"/>
    <w:rsid w:val="00037D39"/>
    <w:rsid w:val="000544FA"/>
    <w:rsid w:val="00065163"/>
    <w:rsid w:val="000866CD"/>
    <w:rsid w:val="00090794"/>
    <w:rsid w:val="000A6BFF"/>
    <w:rsid w:val="000B310E"/>
    <w:rsid w:val="000B65E5"/>
    <w:rsid w:val="000C6A48"/>
    <w:rsid w:val="000D5346"/>
    <w:rsid w:val="000D61C0"/>
    <w:rsid w:val="000D6B5A"/>
    <w:rsid w:val="000E7A17"/>
    <w:rsid w:val="000E7EC6"/>
    <w:rsid w:val="0010226E"/>
    <w:rsid w:val="0010367D"/>
    <w:rsid w:val="00104FD8"/>
    <w:rsid w:val="0011286C"/>
    <w:rsid w:val="00113088"/>
    <w:rsid w:val="00116278"/>
    <w:rsid w:val="00124397"/>
    <w:rsid w:val="0013364F"/>
    <w:rsid w:val="001339BD"/>
    <w:rsid w:val="00135145"/>
    <w:rsid w:val="0013537D"/>
    <w:rsid w:val="00140646"/>
    <w:rsid w:val="001557BF"/>
    <w:rsid w:val="001626D7"/>
    <w:rsid w:val="00163037"/>
    <w:rsid w:val="001666C2"/>
    <w:rsid w:val="001669F2"/>
    <w:rsid w:val="00167407"/>
    <w:rsid w:val="00174BDF"/>
    <w:rsid w:val="00176FAE"/>
    <w:rsid w:val="001928AC"/>
    <w:rsid w:val="0019476C"/>
    <w:rsid w:val="001A186C"/>
    <w:rsid w:val="001A724A"/>
    <w:rsid w:val="001B5A73"/>
    <w:rsid w:val="001C2D27"/>
    <w:rsid w:val="001E6D74"/>
    <w:rsid w:val="001F1767"/>
    <w:rsid w:val="00206FD3"/>
    <w:rsid w:val="00222F94"/>
    <w:rsid w:val="00233118"/>
    <w:rsid w:val="00233EAF"/>
    <w:rsid w:val="002523BA"/>
    <w:rsid w:val="00260341"/>
    <w:rsid w:val="00261FFC"/>
    <w:rsid w:val="002633F9"/>
    <w:rsid w:val="00264C5E"/>
    <w:rsid w:val="0026639F"/>
    <w:rsid w:val="00271990"/>
    <w:rsid w:val="00275AC4"/>
    <w:rsid w:val="00276EEA"/>
    <w:rsid w:val="002844F4"/>
    <w:rsid w:val="00284621"/>
    <w:rsid w:val="002850F5"/>
    <w:rsid w:val="00285632"/>
    <w:rsid w:val="002A7F53"/>
    <w:rsid w:val="002B500A"/>
    <w:rsid w:val="002B5D8E"/>
    <w:rsid w:val="002C3A0D"/>
    <w:rsid w:val="002C4367"/>
    <w:rsid w:val="0030706C"/>
    <w:rsid w:val="00307EFE"/>
    <w:rsid w:val="00315B30"/>
    <w:rsid w:val="00322EBF"/>
    <w:rsid w:val="00323C7B"/>
    <w:rsid w:val="003601A1"/>
    <w:rsid w:val="0038161D"/>
    <w:rsid w:val="00381963"/>
    <w:rsid w:val="00390391"/>
    <w:rsid w:val="003A47A0"/>
    <w:rsid w:val="003B2B7E"/>
    <w:rsid w:val="003C3464"/>
    <w:rsid w:val="003C4BEC"/>
    <w:rsid w:val="003C704F"/>
    <w:rsid w:val="003D65CF"/>
    <w:rsid w:val="003E1087"/>
    <w:rsid w:val="003E2E5F"/>
    <w:rsid w:val="003E7155"/>
    <w:rsid w:val="003F2936"/>
    <w:rsid w:val="003F2BEC"/>
    <w:rsid w:val="003F3EAF"/>
    <w:rsid w:val="004128CD"/>
    <w:rsid w:val="00420C3C"/>
    <w:rsid w:val="00421F09"/>
    <w:rsid w:val="004367C4"/>
    <w:rsid w:val="004379F2"/>
    <w:rsid w:val="004423E9"/>
    <w:rsid w:val="0045670C"/>
    <w:rsid w:val="0046054D"/>
    <w:rsid w:val="0046239E"/>
    <w:rsid w:val="00466013"/>
    <w:rsid w:val="0047065D"/>
    <w:rsid w:val="00473CF7"/>
    <w:rsid w:val="00475C56"/>
    <w:rsid w:val="004820EF"/>
    <w:rsid w:val="00482BE7"/>
    <w:rsid w:val="00496387"/>
    <w:rsid w:val="004A295A"/>
    <w:rsid w:val="004A3D9E"/>
    <w:rsid w:val="004D54A9"/>
    <w:rsid w:val="004D7B2A"/>
    <w:rsid w:val="004E0817"/>
    <w:rsid w:val="004E54B2"/>
    <w:rsid w:val="004F3355"/>
    <w:rsid w:val="004F68D2"/>
    <w:rsid w:val="00511E53"/>
    <w:rsid w:val="005248B6"/>
    <w:rsid w:val="005310C7"/>
    <w:rsid w:val="00545E3F"/>
    <w:rsid w:val="00547826"/>
    <w:rsid w:val="00552B02"/>
    <w:rsid w:val="005568E6"/>
    <w:rsid w:val="00564CAD"/>
    <w:rsid w:val="00566FE0"/>
    <w:rsid w:val="005722EB"/>
    <w:rsid w:val="00575439"/>
    <w:rsid w:val="00585EB9"/>
    <w:rsid w:val="005A1840"/>
    <w:rsid w:val="005A2A9E"/>
    <w:rsid w:val="005A5836"/>
    <w:rsid w:val="005C220C"/>
    <w:rsid w:val="005C75AF"/>
    <w:rsid w:val="005D662C"/>
    <w:rsid w:val="005E41EE"/>
    <w:rsid w:val="005E763A"/>
    <w:rsid w:val="005F0713"/>
    <w:rsid w:val="005F4A16"/>
    <w:rsid w:val="00601B07"/>
    <w:rsid w:val="00610814"/>
    <w:rsid w:val="00623248"/>
    <w:rsid w:val="00631B13"/>
    <w:rsid w:val="00637268"/>
    <w:rsid w:val="00643BA7"/>
    <w:rsid w:val="00662682"/>
    <w:rsid w:val="00663B8C"/>
    <w:rsid w:val="00666F0B"/>
    <w:rsid w:val="00670B77"/>
    <w:rsid w:val="00687597"/>
    <w:rsid w:val="00691247"/>
    <w:rsid w:val="006A0719"/>
    <w:rsid w:val="006B3F7B"/>
    <w:rsid w:val="006B53FC"/>
    <w:rsid w:val="006B689E"/>
    <w:rsid w:val="006C349D"/>
    <w:rsid w:val="006C5E1E"/>
    <w:rsid w:val="006C7299"/>
    <w:rsid w:val="006E202D"/>
    <w:rsid w:val="006E3D65"/>
    <w:rsid w:val="006E62A7"/>
    <w:rsid w:val="00702707"/>
    <w:rsid w:val="00703217"/>
    <w:rsid w:val="00704DBB"/>
    <w:rsid w:val="00706A10"/>
    <w:rsid w:val="0072432E"/>
    <w:rsid w:val="00744218"/>
    <w:rsid w:val="00744FC6"/>
    <w:rsid w:val="007505EE"/>
    <w:rsid w:val="00753AA7"/>
    <w:rsid w:val="00762D72"/>
    <w:rsid w:val="007759B5"/>
    <w:rsid w:val="0077617B"/>
    <w:rsid w:val="00780C48"/>
    <w:rsid w:val="007963CF"/>
    <w:rsid w:val="007A0834"/>
    <w:rsid w:val="007A1797"/>
    <w:rsid w:val="007A3115"/>
    <w:rsid w:val="007A3458"/>
    <w:rsid w:val="007A4302"/>
    <w:rsid w:val="007A7153"/>
    <w:rsid w:val="007B41BF"/>
    <w:rsid w:val="007C1649"/>
    <w:rsid w:val="007C5FA6"/>
    <w:rsid w:val="007F5623"/>
    <w:rsid w:val="007F6894"/>
    <w:rsid w:val="00802164"/>
    <w:rsid w:val="00802A63"/>
    <w:rsid w:val="00827BFC"/>
    <w:rsid w:val="00841970"/>
    <w:rsid w:val="00845A03"/>
    <w:rsid w:val="00846261"/>
    <w:rsid w:val="008471B1"/>
    <w:rsid w:val="00850466"/>
    <w:rsid w:val="008509FF"/>
    <w:rsid w:val="00851A58"/>
    <w:rsid w:val="008533E6"/>
    <w:rsid w:val="00854421"/>
    <w:rsid w:val="00854B0D"/>
    <w:rsid w:val="0085754F"/>
    <w:rsid w:val="00860C4C"/>
    <w:rsid w:val="0086421B"/>
    <w:rsid w:val="00867060"/>
    <w:rsid w:val="00870111"/>
    <w:rsid w:val="00894458"/>
    <w:rsid w:val="00894761"/>
    <w:rsid w:val="00896FFA"/>
    <w:rsid w:val="008A58E0"/>
    <w:rsid w:val="008B46DE"/>
    <w:rsid w:val="008B4ABB"/>
    <w:rsid w:val="008B4AD9"/>
    <w:rsid w:val="008C3900"/>
    <w:rsid w:val="008C439C"/>
    <w:rsid w:val="008D6FF2"/>
    <w:rsid w:val="008E3016"/>
    <w:rsid w:val="008F1B4C"/>
    <w:rsid w:val="008F30D2"/>
    <w:rsid w:val="008F3A80"/>
    <w:rsid w:val="008F4A29"/>
    <w:rsid w:val="00903A92"/>
    <w:rsid w:val="00916078"/>
    <w:rsid w:val="00926A50"/>
    <w:rsid w:val="0093410A"/>
    <w:rsid w:val="009418BE"/>
    <w:rsid w:val="00941C85"/>
    <w:rsid w:val="009430B5"/>
    <w:rsid w:val="00943BB8"/>
    <w:rsid w:val="00944DD1"/>
    <w:rsid w:val="009649FC"/>
    <w:rsid w:val="00971D0E"/>
    <w:rsid w:val="0098280E"/>
    <w:rsid w:val="00996C15"/>
    <w:rsid w:val="0099786A"/>
    <w:rsid w:val="009A4D25"/>
    <w:rsid w:val="009B3BC6"/>
    <w:rsid w:val="009D4E32"/>
    <w:rsid w:val="009E152E"/>
    <w:rsid w:val="009E34A8"/>
    <w:rsid w:val="009E6363"/>
    <w:rsid w:val="009F426C"/>
    <w:rsid w:val="00A004B1"/>
    <w:rsid w:val="00A03936"/>
    <w:rsid w:val="00A14F62"/>
    <w:rsid w:val="00A17B23"/>
    <w:rsid w:val="00A24E12"/>
    <w:rsid w:val="00A27093"/>
    <w:rsid w:val="00A32C35"/>
    <w:rsid w:val="00A37DB5"/>
    <w:rsid w:val="00A42FF5"/>
    <w:rsid w:val="00A430C9"/>
    <w:rsid w:val="00A468EB"/>
    <w:rsid w:val="00A5652E"/>
    <w:rsid w:val="00A61A9F"/>
    <w:rsid w:val="00A62A19"/>
    <w:rsid w:val="00A647CF"/>
    <w:rsid w:val="00A939FD"/>
    <w:rsid w:val="00AA44EC"/>
    <w:rsid w:val="00AB1446"/>
    <w:rsid w:val="00AB3530"/>
    <w:rsid w:val="00AB60C1"/>
    <w:rsid w:val="00AC44AF"/>
    <w:rsid w:val="00B04502"/>
    <w:rsid w:val="00B04572"/>
    <w:rsid w:val="00B05B7A"/>
    <w:rsid w:val="00B22737"/>
    <w:rsid w:val="00B37C2C"/>
    <w:rsid w:val="00B42A93"/>
    <w:rsid w:val="00B44621"/>
    <w:rsid w:val="00B53354"/>
    <w:rsid w:val="00B55A72"/>
    <w:rsid w:val="00B61F27"/>
    <w:rsid w:val="00B62A41"/>
    <w:rsid w:val="00B91D5B"/>
    <w:rsid w:val="00B92FB5"/>
    <w:rsid w:val="00B93642"/>
    <w:rsid w:val="00B95EAA"/>
    <w:rsid w:val="00BA287A"/>
    <w:rsid w:val="00BA62C8"/>
    <w:rsid w:val="00BB64E5"/>
    <w:rsid w:val="00BC124A"/>
    <w:rsid w:val="00BC2604"/>
    <w:rsid w:val="00BC5FD9"/>
    <w:rsid w:val="00BD3750"/>
    <w:rsid w:val="00BE2CDB"/>
    <w:rsid w:val="00BE5C81"/>
    <w:rsid w:val="00BF014F"/>
    <w:rsid w:val="00BF47CD"/>
    <w:rsid w:val="00C138EA"/>
    <w:rsid w:val="00C22455"/>
    <w:rsid w:val="00C228BC"/>
    <w:rsid w:val="00C30F4C"/>
    <w:rsid w:val="00C31AAD"/>
    <w:rsid w:val="00C4142C"/>
    <w:rsid w:val="00C47C4A"/>
    <w:rsid w:val="00C72DB3"/>
    <w:rsid w:val="00C872C4"/>
    <w:rsid w:val="00C97B41"/>
    <w:rsid w:val="00CA350E"/>
    <w:rsid w:val="00CB0892"/>
    <w:rsid w:val="00CB1B1C"/>
    <w:rsid w:val="00CB3084"/>
    <w:rsid w:val="00CB4C07"/>
    <w:rsid w:val="00CB713F"/>
    <w:rsid w:val="00CC401D"/>
    <w:rsid w:val="00CC6508"/>
    <w:rsid w:val="00CD3C95"/>
    <w:rsid w:val="00CD4112"/>
    <w:rsid w:val="00CE1FBA"/>
    <w:rsid w:val="00CE3E20"/>
    <w:rsid w:val="00CF0740"/>
    <w:rsid w:val="00CF2862"/>
    <w:rsid w:val="00CF53BA"/>
    <w:rsid w:val="00D001A4"/>
    <w:rsid w:val="00D0200D"/>
    <w:rsid w:val="00D03E69"/>
    <w:rsid w:val="00D1010A"/>
    <w:rsid w:val="00D11499"/>
    <w:rsid w:val="00D15223"/>
    <w:rsid w:val="00D17B1B"/>
    <w:rsid w:val="00D20E8D"/>
    <w:rsid w:val="00D27DB7"/>
    <w:rsid w:val="00D301B4"/>
    <w:rsid w:val="00D31AEC"/>
    <w:rsid w:val="00D40E71"/>
    <w:rsid w:val="00D422BF"/>
    <w:rsid w:val="00D43E29"/>
    <w:rsid w:val="00D47C78"/>
    <w:rsid w:val="00D51FAE"/>
    <w:rsid w:val="00D552CC"/>
    <w:rsid w:val="00D610EF"/>
    <w:rsid w:val="00D6221C"/>
    <w:rsid w:val="00D6574F"/>
    <w:rsid w:val="00D71218"/>
    <w:rsid w:val="00D75EC6"/>
    <w:rsid w:val="00D904F3"/>
    <w:rsid w:val="00DA3601"/>
    <w:rsid w:val="00DB3A79"/>
    <w:rsid w:val="00DD03D8"/>
    <w:rsid w:val="00DD2EA8"/>
    <w:rsid w:val="00DE36B5"/>
    <w:rsid w:val="00E3250E"/>
    <w:rsid w:val="00E3269F"/>
    <w:rsid w:val="00E37BB8"/>
    <w:rsid w:val="00E434DC"/>
    <w:rsid w:val="00E44C80"/>
    <w:rsid w:val="00E6120E"/>
    <w:rsid w:val="00E62CCE"/>
    <w:rsid w:val="00E63C19"/>
    <w:rsid w:val="00E65E1A"/>
    <w:rsid w:val="00E87EA0"/>
    <w:rsid w:val="00E950FB"/>
    <w:rsid w:val="00EA2CE7"/>
    <w:rsid w:val="00EC16D6"/>
    <w:rsid w:val="00EC24D6"/>
    <w:rsid w:val="00EC48D5"/>
    <w:rsid w:val="00ED10B4"/>
    <w:rsid w:val="00ED6A6E"/>
    <w:rsid w:val="00ED7BEF"/>
    <w:rsid w:val="00EE0790"/>
    <w:rsid w:val="00EE2E39"/>
    <w:rsid w:val="00EF330F"/>
    <w:rsid w:val="00EF3D8B"/>
    <w:rsid w:val="00F103FE"/>
    <w:rsid w:val="00F22F38"/>
    <w:rsid w:val="00F2406E"/>
    <w:rsid w:val="00F31F5C"/>
    <w:rsid w:val="00F36EB5"/>
    <w:rsid w:val="00F37976"/>
    <w:rsid w:val="00F40C3E"/>
    <w:rsid w:val="00F43CAA"/>
    <w:rsid w:val="00F546B1"/>
    <w:rsid w:val="00F57810"/>
    <w:rsid w:val="00F72751"/>
    <w:rsid w:val="00F768F1"/>
    <w:rsid w:val="00F7709F"/>
    <w:rsid w:val="00F853BB"/>
    <w:rsid w:val="00F87712"/>
    <w:rsid w:val="00FA67A0"/>
    <w:rsid w:val="00FB1A19"/>
    <w:rsid w:val="00FC31D2"/>
    <w:rsid w:val="00FC7DCB"/>
    <w:rsid w:val="00FD186E"/>
    <w:rsid w:val="00FD31B9"/>
    <w:rsid w:val="00FD34C1"/>
    <w:rsid w:val="00FD582D"/>
    <w:rsid w:val="00FE1D25"/>
    <w:rsid w:val="00FF2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22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BC"/>
    <w:rPr>
      <w:sz w:val="24"/>
      <w:szCs w:val="24"/>
    </w:rPr>
  </w:style>
  <w:style w:type="paragraph" w:styleId="Overskrift1">
    <w:name w:val="heading 1"/>
    <w:basedOn w:val="Normal"/>
    <w:next w:val="Normal"/>
    <w:link w:val="Overskrift1Tegn"/>
    <w:qFormat/>
    <w:rsid w:val="00C2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13305"/>
    <w:pPr>
      <w:tabs>
        <w:tab w:val="center" w:pos="4536"/>
        <w:tab w:val="right" w:pos="9072"/>
      </w:tabs>
    </w:pPr>
  </w:style>
  <w:style w:type="paragraph" w:styleId="Bunntekst">
    <w:name w:val="footer"/>
    <w:basedOn w:val="Normal"/>
    <w:link w:val="BunntekstTegn"/>
    <w:uiPriority w:val="99"/>
    <w:rsid w:val="00013305"/>
    <w:pPr>
      <w:tabs>
        <w:tab w:val="center" w:pos="4536"/>
        <w:tab w:val="right" w:pos="9072"/>
      </w:tabs>
    </w:pPr>
  </w:style>
  <w:style w:type="table" w:styleId="Tabellrutenett">
    <w:name w:val="Table Grid"/>
    <w:basedOn w:val="Vanligtabell"/>
    <w:rsid w:val="00CB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623248"/>
    <w:rPr>
      <w:sz w:val="20"/>
      <w:szCs w:val="20"/>
    </w:rPr>
  </w:style>
  <w:style w:type="character" w:styleId="Fotnotereferanse">
    <w:name w:val="footnote reference"/>
    <w:basedOn w:val="Standardskriftforavsnitt"/>
    <w:semiHidden/>
    <w:rsid w:val="00623248"/>
    <w:rPr>
      <w:vertAlign w:val="superscript"/>
    </w:rPr>
  </w:style>
  <w:style w:type="paragraph" w:styleId="Bobletekst">
    <w:name w:val="Balloon Text"/>
    <w:basedOn w:val="Normal"/>
    <w:semiHidden/>
    <w:rsid w:val="0085754F"/>
    <w:rPr>
      <w:rFonts w:ascii="Tahoma" w:hAnsi="Tahoma" w:cs="Tahoma"/>
      <w:sz w:val="16"/>
      <w:szCs w:val="16"/>
    </w:rPr>
  </w:style>
  <w:style w:type="character" w:customStyle="1" w:styleId="Overskrift1Tegn">
    <w:name w:val="Overskrift 1 Tegn"/>
    <w:basedOn w:val="Standardskriftforavsnitt"/>
    <w:link w:val="Overskrift1"/>
    <w:rsid w:val="00C228BC"/>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228BC"/>
    <w:pPr>
      <w:ind w:left="720"/>
      <w:contextualSpacing/>
    </w:pPr>
  </w:style>
  <w:style w:type="character" w:customStyle="1" w:styleId="BunntekstTegn">
    <w:name w:val="Bunntekst Tegn"/>
    <w:basedOn w:val="Standardskriftforavsnitt"/>
    <w:link w:val="Bunntekst"/>
    <w:uiPriority w:val="99"/>
    <w:rsid w:val="001928AC"/>
    <w:rPr>
      <w:sz w:val="24"/>
      <w:szCs w:val="24"/>
    </w:rPr>
  </w:style>
  <w:style w:type="character" w:styleId="Merknadsreferanse">
    <w:name w:val="annotation reference"/>
    <w:basedOn w:val="Standardskriftforavsnitt"/>
    <w:semiHidden/>
    <w:unhideWhenUsed/>
    <w:rsid w:val="00466013"/>
    <w:rPr>
      <w:sz w:val="16"/>
      <w:szCs w:val="16"/>
    </w:rPr>
  </w:style>
  <w:style w:type="paragraph" w:styleId="Merknadstekst">
    <w:name w:val="annotation text"/>
    <w:basedOn w:val="Normal"/>
    <w:link w:val="MerknadstekstTegn"/>
    <w:semiHidden/>
    <w:unhideWhenUsed/>
    <w:rsid w:val="00466013"/>
    <w:rPr>
      <w:sz w:val="20"/>
      <w:szCs w:val="20"/>
    </w:rPr>
  </w:style>
  <w:style w:type="character" w:customStyle="1" w:styleId="MerknadstekstTegn">
    <w:name w:val="Merknadstekst Tegn"/>
    <w:basedOn w:val="Standardskriftforavsnitt"/>
    <w:link w:val="Merknadstekst"/>
    <w:semiHidden/>
    <w:rsid w:val="00466013"/>
  </w:style>
  <w:style w:type="paragraph" w:styleId="Kommentaremne">
    <w:name w:val="annotation subject"/>
    <w:basedOn w:val="Merknadstekst"/>
    <w:next w:val="Merknadstekst"/>
    <w:link w:val="KommentaremneTegn"/>
    <w:semiHidden/>
    <w:unhideWhenUsed/>
    <w:rsid w:val="00466013"/>
    <w:rPr>
      <w:b/>
      <w:bCs/>
    </w:rPr>
  </w:style>
  <w:style w:type="character" w:customStyle="1" w:styleId="KommentaremneTegn">
    <w:name w:val="Kommentaremne Tegn"/>
    <w:basedOn w:val="MerknadstekstTegn"/>
    <w:link w:val="Kommentaremne"/>
    <w:semiHidden/>
    <w:rsid w:val="00466013"/>
    <w:rPr>
      <w:b/>
      <w:bCs/>
    </w:rPr>
  </w:style>
  <w:style w:type="character" w:customStyle="1" w:styleId="TopptekstTegn">
    <w:name w:val="Topptekst Tegn"/>
    <w:basedOn w:val="Standardskriftforavsnitt"/>
    <w:link w:val="Topptekst"/>
    <w:uiPriority w:val="99"/>
    <w:rsid w:val="00C47C4A"/>
    <w:rPr>
      <w:sz w:val="24"/>
      <w:szCs w:val="24"/>
    </w:rPr>
  </w:style>
  <w:style w:type="paragraph" w:styleId="Tittel">
    <w:name w:val="Title"/>
    <w:basedOn w:val="Normal"/>
    <w:next w:val="Normal"/>
    <w:link w:val="TittelTegn"/>
    <w:qFormat/>
    <w:rsid w:val="008C43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439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BC"/>
    <w:rPr>
      <w:sz w:val="24"/>
      <w:szCs w:val="24"/>
    </w:rPr>
  </w:style>
  <w:style w:type="paragraph" w:styleId="Overskrift1">
    <w:name w:val="heading 1"/>
    <w:basedOn w:val="Normal"/>
    <w:next w:val="Normal"/>
    <w:link w:val="Overskrift1Tegn"/>
    <w:qFormat/>
    <w:rsid w:val="00C2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13305"/>
    <w:pPr>
      <w:tabs>
        <w:tab w:val="center" w:pos="4536"/>
        <w:tab w:val="right" w:pos="9072"/>
      </w:tabs>
    </w:pPr>
  </w:style>
  <w:style w:type="paragraph" w:styleId="Bunntekst">
    <w:name w:val="footer"/>
    <w:basedOn w:val="Normal"/>
    <w:link w:val="BunntekstTegn"/>
    <w:uiPriority w:val="99"/>
    <w:rsid w:val="00013305"/>
    <w:pPr>
      <w:tabs>
        <w:tab w:val="center" w:pos="4536"/>
        <w:tab w:val="right" w:pos="9072"/>
      </w:tabs>
    </w:pPr>
  </w:style>
  <w:style w:type="table" w:styleId="Tabellrutenett">
    <w:name w:val="Table Grid"/>
    <w:basedOn w:val="Vanligtabell"/>
    <w:rsid w:val="00CB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623248"/>
    <w:rPr>
      <w:sz w:val="20"/>
      <w:szCs w:val="20"/>
    </w:rPr>
  </w:style>
  <w:style w:type="character" w:styleId="Fotnotereferanse">
    <w:name w:val="footnote reference"/>
    <w:basedOn w:val="Standardskriftforavsnitt"/>
    <w:semiHidden/>
    <w:rsid w:val="00623248"/>
    <w:rPr>
      <w:vertAlign w:val="superscript"/>
    </w:rPr>
  </w:style>
  <w:style w:type="paragraph" w:styleId="Bobletekst">
    <w:name w:val="Balloon Text"/>
    <w:basedOn w:val="Normal"/>
    <w:semiHidden/>
    <w:rsid w:val="0085754F"/>
    <w:rPr>
      <w:rFonts w:ascii="Tahoma" w:hAnsi="Tahoma" w:cs="Tahoma"/>
      <w:sz w:val="16"/>
      <w:szCs w:val="16"/>
    </w:rPr>
  </w:style>
  <w:style w:type="character" w:customStyle="1" w:styleId="Overskrift1Tegn">
    <w:name w:val="Overskrift 1 Tegn"/>
    <w:basedOn w:val="Standardskriftforavsnitt"/>
    <w:link w:val="Overskrift1"/>
    <w:rsid w:val="00C228BC"/>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C228BC"/>
    <w:pPr>
      <w:ind w:left="720"/>
      <w:contextualSpacing/>
    </w:pPr>
  </w:style>
  <w:style w:type="character" w:customStyle="1" w:styleId="BunntekstTegn">
    <w:name w:val="Bunntekst Tegn"/>
    <w:basedOn w:val="Standardskriftforavsnitt"/>
    <w:link w:val="Bunntekst"/>
    <w:uiPriority w:val="99"/>
    <w:rsid w:val="001928AC"/>
    <w:rPr>
      <w:sz w:val="24"/>
      <w:szCs w:val="24"/>
    </w:rPr>
  </w:style>
  <w:style w:type="character" w:styleId="Merknadsreferanse">
    <w:name w:val="annotation reference"/>
    <w:basedOn w:val="Standardskriftforavsnitt"/>
    <w:semiHidden/>
    <w:unhideWhenUsed/>
    <w:rsid w:val="00466013"/>
    <w:rPr>
      <w:sz w:val="16"/>
      <w:szCs w:val="16"/>
    </w:rPr>
  </w:style>
  <w:style w:type="paragraph" w:styleId="Merknadstekst">
    <w:name w:val="annotation text"/>
    <w:basedOn w:val="Normal"/>
    <w:link w:val="MerknadstekstTegn"/>
    <w:semiHidden/>
    <w:unhideWhenUsed/>
    <w:rsid w:val="00466013"/>
    <w:rPr>
      <w:sz w:val="20"/>
      <w:szCs w:val="20"/>
    </w:rPr>
  </w:style>
  <w:style w:type="character" w:customStyle="1" w:styleId="MerknadstekstTegn">
    <w:name w:val="Merknadstekst Tegn"/>
    <w:basedOn w:val="Standardskriftforavsnitt"/>
    <w:link w:val="Merknadstekst"/>
    <w:semiHidden/>
    <w:rsid w:val="00466013"/>
  </w:style>
  <w:style w:type="paragraph" w:styleId="Kommentaremne">
    <w:name w:val="annotation subject"/>
    <w:basedOn w:val="Merknadstekst"/>
    <w:next w:val="Merknadstekst"/>
    <w:link w:val="KommentaremneTegn"/>
    <w:semiHidden/>
    <w:unhideWhenUsed/>
    <w:rsid w:val="00466013"/>
    <w:rPr>
      <w:b/>
      <w:bCs/>
    </w:rPr>
  </w:style>
  <w:style w:type="character" w:customStyle="1" w:styleId="KommentaremneTegn">
    <w:name w:val="Kommentaremne Tegn"/>
    <w:basedOn w:val="MerknadstekstTegn"/>
    <w:link w:val="Kommentaremne"/>
    <w:semiHidden/>
    <w:rsid w:val="00466013"/>
    <w:rPr>
      <w:b/>
      <w:bCs/>
    </w:rPr>
  </w:style>
  <w:style w:type="character" w:customStyle="1" w:styleId="TopptekstTegn">
    <w:name w:val="Topptekst Tegn"/>
    <w:basedOn w:val="Standardskriftforavsnitt"/>
    <w:link w:val="Topptekst"/>
    <w:uiPriority w:val="99"/>
    <w:rsid w:val="00C47C4A"/>
    <w:rPr>
      <w:sz w:val="24"/>
      <w:szCs w:val="24"/>
    </w:rPr>
  </w:style>
  <w:style w:type="paragraph" w:styleId="Tittel">
    <w:name w:val="Title"/>
    <w:basedOn w:val="Normal"/>
    <w:next w:val="Normal"/>
    <w:link w:val="TittelTegn"/>
    <w:qFormat/>
    <w:rsid w:val="008C43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43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1052">
      <w:bodyDiv w:val="1"/>
      <w:marLeft w:val="0"/>
      <w:marRight w:val="0"/>
      <w:marTop w:val="0"/>
      <w:marBottom w:val="0"/>
      <w:divBdr>
        <w:top w:val="none" w:sz="0" w:space="0" w:color="auto"/>
        <w:left w:val="none" w:sz="0" w:space="0" w:color="auto"/>
        <w:bottom w:val="none" w:sz="0" w:space="0" w:color="auto"/>
        <w:right w:val="none" w:sz="0" w:space="0" w:color="auto"/>
      </w:divBdr>
      <w:divsChild>
        <w:div w:id="286929759">
          <w:marLeft w:val="0"/>
          <w:marRight w:val="0"/>
          <w:marTop w:val="0"/>
          <w:marBottom w:val="0"/>
          <w:divBdr>
            <w:top w:val="none" w:sz="0" w:space="0" w:color="auto"/>
            <w:left w:val="none" w:sz="0" w:space="0" w:color="auto"/>
            <w:bottom w:val="none" w:sz="0" w:space="0" w:color="auto"/>
            <w:right w:val="none" w:sz="0" w:space="0" w:color="auto"/>
          </w:divBdr>
        </w:div>
        <w:div w:id="344481293">
          <w:marLeft w:val="0"/>
          <w:marRight w:val="0"/>
          <w:marTop w:val="0"/>
          <w:marBottom w:val="0"/>
          <w:divBdr>
            <w:top w:val="none" w:sz="0" w:space="0" w:color="auto"/>
            <w:left w:val="none" w:sz="0" w:space="0" w:color="auto"/>
            <w:bottom w:val="none" w:sz="0" w:space="0" w:color="auto"/>
            <w:right w:val="none" w:sz="0" w:space="0" w:color="auto"/>
          </w:divBdr>
        </w:div>
        <w:div w:id="739643758">
          <w:marLeft w:val="0"/>
          <w:marRight w:val="0"/>
          <w:marTop w:val="0"/>
          <w:marBottom w:val="0"/>
          <w:divBdr>
            <w:top w:val="none" w:sz="0" w:space="0" w:color="auto"/>
            <w:left w:val="none" w:sz="0" w:space="0" w:color="auto"/>
            <w:bottom w:val="none" w:sz="0" w:space="0" w:color="auto"/>
            <w:right w:val="none" w:sz="0" w:space="0" w:color="auto"/>
          </w:divBdr>
        </w:div>
        <w:div w:id="767119005">
          <w:marLeft w:val="0"/>
          <w:marRight w:val="0"/>
          <w:marTop w:val="0"/>
          <w:marBottom w:val="0"/>
          <w:divBdr>
            <w:top w:val="none" w:sz="0" w:space="0" w:color="auto"/>
            <w:left w:val="none" w:sz="0" w:space="0" w:color="auto"/>
            <w:bottom w:val="none" w:sz="0" w:space="0" w:color="auto"/>
            <w:right w:val="none" w:sz="0" w:space="0" w:color="auto"/>
          </w:divBdr>
        </w:div>
        <w:div w:id="1221087644">
          <w:marLeft w:val="0"/>
          <w:marRight w:val="0"/>
          <w:marTop w:val="0"/>
          <w:marBottom w:val="0"/>
          <w:divBdr>
            <w:top w:val="none" w:sz="0" w:space="0" w:color="auto"/>
            <w:left w:val="none" w:sz="0" w:space="0" w:color="auto"/>
            <w:bottom w:val="none" w:sz="0" w:space="0" w:color="auto"/>
            <w:right w:val="none" w:sz="0" w:space="0" w:color="auto"/>
          </w:divBdr>
        </w:div>
        <w:div w:id="1227184395">
          <w:marLeft w:val="0"/>
          <w:marRight w:val="0"/>
          <w:marTop w:val="0"/>
          <w:marBottom w:val="0"/>
          <w:divBdr>
            <w:top w:val="none" w:sz="0" w:space="0" w:color="auto"/>
            <w:left w:val="none" w:sz="0" w:space="0" w:color="auto"/>
            <w:bottom w:val="none" w:sz="0" w:space="0" w:color="auto"/>
            <w:right w:val="none" w:sz="0" w:space="0" w:color="auto"/>
          </w:divBdr>
        </w:div>
        <w:div w:id="1414009246">
          <w:marLeft w:val="0"/>
          <w:marRight w:val="0"/>
          <w:marTop w:val="0"/>
          <w:marBottom w:val="0"/>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
        <w:div w:id="1968927329">
          <w:marLeft w:val="0"/>
          <w:marRight w:val="0"/>
          <w:marTop w:val="0"/>
          <w:marBottom w:val="0"/>
          <w:divBdr>
            <w:top w:val="none" w:sz="0" w:space="0" w:color="auto"/>
            <w:left w:val="none" w:sz="0" w:space="0" w:color="auto"/>
            <w:bottom w:val="none" w:sz="0" w:space="0" w:color="auto"/>
            <w:right w:val="none" w:sz="0" w:space="0" w:color="auto"/>
          </w:divBdr>
        </w:div>
        <w:div w:id="1986812855">
          <w:marLeft w:val="0"/>
          <w:marRight w:val="0"/>
          <w:marTop w:val="0"/>
          <w:marBottom w:val="0"/>
          <w:divBdr>
            <w:top w:val="none" w:sz="0" w:space="0" w:color="auto"/>
            <w:left w:val="none" w:sz="0" w:space="0" w:color="auto"/>
            <w:bottom w:val="none" w:sz="0" w:space="0" w:color="auto"/>
            <w:right w:val="none" w:sz="0" w:space="0" w:color="auto"/>
          </w:divBdr>
        </w:div>
      </w:divsChild>
    </w:div>
    <w:div w:id="682051875">
      <w:bodyDiv w:val="1"/>
      <w:marLeft w:val="0"/>
      <w:marRight w:val="0"/>
      <w:marTop w:val="0"/>
      <w:marBottom w:val="0"/>
      <w:divBdr>
        <w:top w:val="none" w:sz="0" w:space="0" w:color="auto"/>
        <w:left w:val="none" w:sz="0" w:space="0" w:color="auto"/>
        <w:bottom w:val="none" w:sz="0" w:space="0" w:color="auto"/>
        <w:right w:val="none" w:sz="0" w:space="0" w:color="auto"/>
      </w:divBdr>
    </w:div>
    <w:div w:id="794373477">
      <w:bodyDiv w:val="1"/>
      <w:marLeft w:val="0"/>
      <w:marRight w:val="0"/>
      <w:marTop w:val="0"/>
      <w:marBottom w:val="0"/>
      <w:divBdr>
        <w:top w:val="none" w:sz="0" w:space="0" w:color="auto"/>
        <w:left w:val="none" w:sz="0" w:space="0" w:color="auto"/>
        <w:bottom w:val="none" w:sz="0" w:space="0" w:color="auto"/>
        <w:right w:val="none" w:sz="0" w:space="0" w:color="auto"/>
      </w:divBdr>
    </w:div>
    <w:div w:id="1112047471">
      <w:bodyDiv w:val="1"/>
      <w:marLeft w:val="0"/>
      <w:marRight w:val="0"/>
      <w:marTop w:val="0"/>
      <w:marBottom w:val="0"/>
      <w:divBdr>
        <w:top w:val="none" w:sz="0" w:space="0" w:color="auto"/>
        <w:left w:val="none" w:sz="0" w:space="0" w:color="auto"/>
        <w:bottom w:val="none" w:sz="0" w:space="0" w:color="auto"/>
        <w:right w:val="none" w:sz="0" w:space="0" w:color="auto"/>
      </w:divBdr>
    </w:div>
    <w:div w:id="1236823127">
      <w:bodyDiv w:val="1"/>
      <w:marLeft w:val="0"/>
      <w:marRight w:val="0"/>
      <w:marTop w:val="0"/>
      <w:marBottom w:val="0"/>
      <w:divBdr>
        <w:top w:val="none" w:sz="0" w:space="0" w:color="auto"/>
        <w:left w:val="none" w:sz="0" w:space="0" w:color="auto"/>
        <w:bottom w:val="none" w:sz="0" w:space="0" w:color="auto"/>
        <w:right w:val="none" w:sz="0" w:space="0" w:color="auto"/>
      </w:divBdr>
    </w:div>
    <w:div w:id="1313439617">
      <w:bodyDiv w:val="1"/>
      <w:marLeft w:val="0"/>
      <w:marRight w:val="0"/>
      <w:marTop w:val="0"/>
      <w:marBottom w:val="0"/>
      <w:divBdr>
        <w:top w:val="none" w:sz="0" w:space="0" w:color="auto"/>
        <w:left w:val="none" w:sz="0" w:space="0" w:color="auto"/>
        <w:bottom w:val="none" w:sz="0" w:space="0" w:color="auto"/>
        <w:right w:val="none" w:sz="0" w:space="0" w:color="auto"/>
      </w:divBdr>
      <w:divsChild>
        <w:div w:id="796997191">
          <w:marLeft w:val="0"/>
          <w:marRight w:val="0"/>
          <w:marTop w:val="0"/>
          <w:marBottom w:val="0"/>
          <w:divBdr>
            <w:top w:val="none" w:sz="0" w:space="0" w:color="auto"/>
            <w:left w:val="none" w:sz="0" w:space="0" w:color="auto"/>
            <w:bottom w:val="none" w:sz="0" w:space="0" w:color="auto"/>
            <w:right w:val="none" w:sz="0" w:space="0" w:color="auto"/>
          </w:divBdr>
        </w:div>
      </w:divsChild>
    </w:div>
    <w:div w:id="1357534538">
      <w:bodyDiv w:val="1"/>
      <w:marLeft w:val="0"/>
      <w:marRight w:val="0"/>
      <w:marTop w:val="0"/>
      <w:marBottom w:val="0"/>
      <w:divBdr>
        <w:top w:val="none" w:sz="0" w:space="0" w:color="auto"/>
        <w:left w:val="none" w:sz="0" w:space="0" w:color="auto"/>
        <w:bottom w:val="none" w:sz="0" w:space="0" w:color="auto"/>
        <w:right w:val="none" w:sz="0" w:space="0" w:color="auto"/>
      </w:divBdr>
    </w:div>
    <w:div w:id="1819149622">
      <w:bodyDiv w:val="1"/>
      <w:marLeft w:val="0"/>
      <w:marRight w:val="0"/>
      <w:marTop w:val="0"/>
      <w:marBottom w:val="0"/>
      <w:divBdr>
        <w:top w:val="none" w:sz="0" w:space="0" w:color="auto"/>
        <w:left w:val="none" w:sz="0" w:space="0" w:color="auto"/>
        <w:bottom w:val="none" w:sz="0" w:space="0" w:color="auto"/>
        <w:right w:val="none" w:sz="0" w:space="0" w:color="auto"/>
      </w:divBdr>
      <w:divsChild>
        <w:div w:id="160125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0EAB4AB8201F45AAB546A524C0F75D" ma:contentTypeVersion="0" ma:contentTypeDescription="Opprett et nytt dokument." ma:contentTypeScope="" ma:versionID="dad5da1000035accaab603e6e524b7ac">
  <xsd:schema xmlns:xsd="http://www.w3.org/2001/XMLSchema" xmlns:xs="http://www.w3.org/2001/XMLSchema" xmlns:p="http://schemas.microsoft.com/office/2006/metadata/properties" targetNamespace="http://schemas.microsoft.com/office/2006/metadata/properties" ma:root="true" ma:fieldsID="133d1fb58460e8b57796975154e34d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8658-BC83-4778-875D-01395A1C280A}">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38CEEA1C-90F5-4E28-90D4-029F47B4AAFA}">
  <ds:schemaRefs>
    <ds:schemaRef ds:uri="http://schemas.microsoft.com/sharepoint/v3/contenttype/forms"/>
  </ds:schemaRefs>
</ds:datastoreItem>
</file>

<file path=customXml/itemProps3.xml><?xml version="1.0" encoding="utf-8"?>
<ds:datastoreItem xmlns:ds="http://schemas.openxmlformats.org/officeDocument/2006/customXml" ds:itemID="{76A36315-9A17-4269-AB2E-CE1079D41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47DFED-7FAF-49DA-93B8-BC3F52A7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937</Words>
  <Characters>5298</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Prosjektgruppe gasser</vt:lpstr>
    </vt:vector>
  </TitlesOfParts>
  <Company>Finnmark fylkeskommune</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Bergljot Mikkelsen</dc:creator>
  <cp:lastModifiedBy>Øyvind Kjørlaug</cp:lastModifiedBy>
  <cp:revision>26</cp:revision>
  <cp:lastPrinted>2011-01-10T09:38:00Z</cp:lastPrinted>
  <dcterms:created xsi:type="dcterms:W3CDTF">2016-04-13T12:57:00Z</dcterms:created>
  <dcterms:modified xsi:type="dcterms:W3CDTF">2018-10-16T06:56:00Z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0x010100F80EAB4AB8201F45AAB546A524C0F75D</vt:lpwstr>
  </property>
  <property fmtid="{D5CDD505-2E9C-101B-9397-08002B2CF9AE}" pid="3" name="_dlc_DocIdItemGuid">
    <vt:lpwstr>7c8d52dc-f247-483f-9618-87bdd175a4d7</vt:lpwstr>
  </property>
</Properties>
</file>