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41" w:rsidRPr="00486603" w:rsidRDefault="00333F4C">
      <w:pPr>
        <w:rPr>
          <w:b/>
        </w:rPr>
      </w:pPr>
      <w:r>
        <w:rPr>
          <w:b/>
        </w:rPr>
        <w:t>HO-17-05</w:t>
      </w:r>
      <w:r w:rsidR="00486603" w:rsidRPr="00486603">
        <w:rPr>
          <w:b/>
        </w:rPr>
        <w:t xml:space="preserve">: </w:t>
      </w:r>
      <w:r>
        <w:rPr>
          <w:b/>
        </w:rPr>
        <w:t>Vann-, slam- og avløpsanalyser</w:t>
      </w:r>
      <w:r w:rsidR="00486603" w:rsidRPr="00486603">
        <w:rPr>
          <w:b/>
        </w:rPr>
        <w:t xml:space="preserve"> </w:t>
      </w:r>
    </w:p>
    <w:p w:rsidR="00486603" w:rsidRDefault="00486603">
      <w:pPr>
        <w:rPr>
          <w:sz w:val="44"/>
          <w:szCs w:val="44"/>
        </w:rPr>
      </w:pPr>
      <w:r w:rsidRPr="00486603">
        <w:rPr>
          <w:sz w:val="44"/>
          <w:szCs w:val="44"/>
        </w:rPr>
        <w:t>Kravspesifikasjon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104"/>
        <w:gridCol w:w="1412"/>
        <w:gridCol w:w="2546"/>
      </w:tblGrid>
      <w:tr w:rsidR="004E7916" w:rsidTr="009D33B9">
        <w:tc>
          <w:tcPr>
            <w:tcW w:w="5104" w:type="dxa"/>
            <w:shd w:val="clear" w:color="auto" w:fill="D9D9D9" w:themeFill="background1" w:themeFillShade="D9"/>
          </w:tcPr>
          <w:p w:rsidR="004E7916" w:rsidRPr="001E13D9" w:rsidRDefault="004E7916">
            <w:pPr>
              <w:rPr>
                <w:b/>
              </w:rPr>
            </w:pPr>
            <w:r w:rsidRPr="001E13D9">
              <w:rPr>
                <w:b/>
              </w:rPr>
              <w:t>Krav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4E7916" w:rsidRPr="001E13D9" w:rsidRDefault="004E7916" w:rsidP="004E7916">
            <w:pPr>
              <w:rPr>
                <w:b/>
              </w:rPr>
            </w:pPr>
            <w:r w:rsidRPr="001E13D9">
              <w:rPr>
                <w:b/>
              </w:rPr>
              <w:t>Aksepteres ja/nei</w:t>
            </w:r>
            <w:r w:rsidR="006B7BCA">
              <w:rPr>
                <w:b/>
              </w:rPr>
              <w:t>/ ikke relevant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4E7916" w:rsidRPr="001E13D9" w:rsidRDefault="00D77311">
            <w:pPr>
              <w:rPr>
                <w:b/>
              </w:rPr>
            </w:pPr>
            <w:r w:rsidRPr="001E13D9">
              <w:rPr>
                <w:b/>
              </w:rPr>
              <w:t>K</w:t>
            </w:r>
            <w:r w:rsidR="004E7916" w:rsidRPr="001E13D9">
              <w:rPr>
                <w:b/>
              </w:rPr>
              <w:t>ommentarer</w:t>
            </w:r>
            <w:r>
              <w:rPr>
                <w:b/>
              </w:rPr>
              <w:t xml:space="preserve"> eller</w:t>
            </w:r>
            <w:r w:rsidR="009D33B9">
              <w:rPr>
                <w:b/>
              </w:rPr>
              <w:t xml:space="preserve"> henvisning til vedlegg/fil/kapittel</w:t>
            </w:r>
          </w:p>
        </w:tc>
      </w:tr>
      <w:tr w:rsidR="00D77311" w:rsidTr="009D33B9">
        <w:tc>
          <w:tcPr>
            <w:tcW w:w="5104" w:type="dxa"/>
            <w:shd w:val="clear" w:color="auto" w:fill="F2F2F2" w:themeFill="background1" w:themeFillShade="F2"/>
          </w:tcPr>
          <w:p w:rsidR="00D77311" w:rsidRDefault="00EA5ED0" w:rsidP="004027B9">
            <w:r w:rsidRPr="00EA5ED0">
              <w:rPr>
                <w:b/>
                <w:sz w:val="28"/>
                <w:szCs w:val="28"/>
              </w:rPr>
              <w:t>Generelle krav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:rsidR="00D77311" w:rsidRDefault="00D77311">
            <w:pPr>
              <w:rPr>
                <w:sz w:val="44"/>
                <w:szCs w:val="44"/>
              </w:rPr>
            </w:pPr>
          </w:p>
        </w:tc>
        <w:tc>
          <w:tcPr>
            <w:tcW w:w="2546" w:type="dxa"/>
            <w:shd w:val="clear" w:color="auto" w:fill="F2F2F2" w:themeFill="background1" w:themeFillShade="F2"/>
          </w:tcPr>
          <w:p w:rsidR="00D77311" w:rsidRDefault="00D77311">
            <w:pPr>
              <w:rPr>
                <w:sz w:val="44"/>
                <w:szCs w:val="44"/>
              </w:rPr>
            </w:pPr>
          </w:p>
        </w:tc>
      </w:tr>
      <w:tr w:rsidR="002A5DBE" w:rsidRPr="002A5DBE" w:rsidTr="009D33B9">
        <w:tc>
          <w:tcPr>
            <w:tcW w:w="5104" w:type="dxa"/>
          </w:tcPr>
          <w:p w:rsidR="004027B9" w:rsidRPr="002A5DBE" w:rsidRDefault="004027B9" w:rsidP="004027B9">
            <w:r w:rsidRPr="002A5DBE">
              <w:t>Valgt leverandør skal, i samarbeid med kontaktperson</w:t>
            </w:r>
            <w:r w:rsidR="004C4EB6">
              <w:t xml:space="preserve"> i hver kommune</w:t>
            </w:r>
            <w:r w:rsidRPr="002A5DBE">
              <w:t xml:space="preserve">,  bistå med å utarbeide </w:t>
            </w:r>
            <w:r w:rsidRPr="006A021A">
              <w:t>prøvetakingsplan spesifisert for hver aktuell kommune.</w:t>
            </w:r>
            <w:r w:rsidR="006A021A" w:rsidRPr="006A021A">
              <w:t xml:space="preserve"> </w:t>
            </w:r>
            <w:r w:rsidR="006A021A" w:rsidRPr="006A021A">
              <w:t>Oppdragsgiver</w:t>
            </w:r>
            <w:bookmarkStart w:id="0" w:name="_GoBack"/>
            <w:bookmarkEnd w:id="0"/>
            <w:r w:rsidR="006A021A" w:rsidRPr="006A021A">
              <w:t xml:space="preserve"> forbeholder seg rett til å endre antall prøver som skal analyseres, som  følge av endrede forskriftskrav eller endret risiko og sårbarhets vurdering for vannverkene</w:t>
            </w:r>
          </w:p>
          <w:p w:rsidR="004027B9" w:rsidRPr="002A5DBE" w:rsidRDefault="004027B9" w:rsidP="004027B9"/>
        </w:tc>
        <w:tc>
          <w:tcPr>
            <w:tcW w:w="1412" w:type="dxa"/>
          </w:tcPr>
          <w:p w:rsidR="004027B9" w:rsidRPr="002A5DBE" w:rsidRDefault="004027B9">
            <w:pPr>
              <w:rPr>
                <w:sz w:val="44"/>
                <w:szCs w:val="44"/>
              </w:rPr>
            </w:pPr>
          </w:p>
        </w:tc>
        <w:tc>
          <w:tcPr>
            <w:tcW w:w="2546" w:type="dxa"/>
          </w:tcPr>
          <w:p w:rsidR="004027B9" w:rsidRPr="002A5DBE" w:rsidRDefault="004027B9">
            <w:pPr>
              <w:rPr>
                <w:sz w:val="44"/>
                <w:szCs w:val="44"/>
              </w:rPr>
            </w:pPr>
          </w:p>
        </w:tc>
      </w:tr>
      <w:tr w:rsidR="002A5DBE" w:rsidRPr="002A5DBE" w:rsidTr="009D33B9">
        <w:tc>
          <w:tcPr>
            <w:tcW w:w="5104" w:type="dxa"/>
          </w:tcPr>
          <w:p w:rsidR="00B535FC" w:rsidRPr="002A5DBE" w:rsidRDefault="00B535FC" w:rsidP="00B535FC">
            <w:r w:rsidRPr="002A5DBE">
              <w:t xml:space="preserve">Valgt leverandør har ansvar </w:t>
            </w:r>
            <w:r w:rsidR="004C4EB6">
              <w:t>for å foreta analyse av alle prø</w:t>
            </w:r>
            <w:r w:rsidRPr="002A5DBE">
              <w:t xml:space="preserve">ver som er innlevert .  </w:t>
            </w:r>
            <w:r w:rsidRPr="00FE3B4F">
              <w:rPr>
                <w:b/>
              </w:rPr>
              <w:t>Analyser skal utføres</w:t>
            </w:r>
            <w:r w:rsidR="00FE3B4F">
              <w:rPr>
                <w:b/>
              </w:rPr>
              <w:t xml:space="preserve"> i henhold</w:t>
            </w:r>
            <w:r w:rsidRPr="00FE3B4F">
              <w:rPr>
                <w:b/>
              </w:rPr>
              <w:t xml:space="preserve"> til de til enhver tid gjeldende lover og forskrifter</w:t>
            </w:r>
            <w:r w:rsidRPr="002A5DBE">
              <w:t>.</w:t>
            </w:r>
          </w:p>
          <w:p w:rsidR="00B535FC" w:rsidRPr="002A5DBE" w:rsidRDefault="00B535FC" w:rsidP="00B535FC"/>
        </w:tc>
        <w:tc>
          <w:tcPr>
            <w:tcW w:w="1412" w:type="dxa"/>
          </w:tcPr>
          <w:p w:rsidR="00B535FC" w:rsidRPr="002A5DBE" w:rsidRDefault="00B535FC">
            <w:pPr>
              <w:rPr>
                <w:sz w:val="44"/>
                <w:szCs w:val="44"/>
              </w:rPr>
            </w:pPr>
          </w:p>
        </w:tc>
        <w:tc>
          <w:tcPr>
            <w:tcW w:w="2546" w:type="dxa"/>
          </w:tcPr>
          <w:p w:rsidR="00B535FC" w:rsidRPr="002A5DBE" w:rsidRDefault="00B535FC">
            <w:pPr>
              <w:rPr>
                <w:sz w:val="44"/>
                <w:szCs w:val="44"/>
              </w:rPr>
            </w:pPr>
          </w:p>
        </w:tc>
      </w:tr>
      <w:tr w:rsidR="002A5DBE" w:rsidRPr="002A5DBE" w:rsidTr="009D33B9">
        <w:tc>
          <w:tcPr>
            <w:tcW w:w="5104" w:type="dxa"/>
          </w:tcPr>
          <w:p w:rsidR="00B535FC" w:rsidRPr="002A5DBE" w:rsidRDefault="00EA5ED0" w:rsidP="000E0F3D">
            <w:r>
              <w:t>Som det fremkommer i vedlegget «analyser og priser», varierer antall prøver litt fra kommune til kommune.</w:t>
            </w:r>
            <w:r w:rsidR="002B2EA1" w:rsidRPr="002A5DBE">
              <w:t xml:space="preserve">  Tilbyder må ha kapasi</w:t>
            </w:r>
            <w:r>
              <w:t>tet til å gjennomføre det antall prøver som er gitt for de kommunen</w:t>
            </w:r>
            <w:r w:rsidR="00845EC2">
              <w:t>e det gis tilbud til,</w:t>
            </w:r>
            <w:r>
              <w:t xml:space="preserve"> </w:t>
            </w:r>
            <w:r w:rsidR="002B2EA1" w:rsidRPr="002A5DBE">
              <w:t>pluss</w:t>
            </w:r>
            <w:r w:rsidR="00845EC2">
              <w:t xml:space="preserve"> eventuelle endringer i prøvetak</w:t>
            </w:r>
            <w:r w:rsidR="002B2EA1" w:rsidRPr="002A5DBE">
              <w:t xml:space="preserve">ingsfrekvens, </w:t>
            </w:r>
            <w:r w:rsidR="00845EC2">
              <w:t>og</w:t>
            </w:r>
            <w:r w:rsidR="002B2EA1" w:rsidRPr="002A5DBE">
              <w:t xml:space="preserve"> opprettholde</w:t>
            </w:r>
            <w:r w:rsidR="00845EC2">
              <w:t xml:space="preserve">lse av </w:t>
            </w:r>
            <w:r w:rsidR="002B2EA1" w:rsidRPr="002A5DBE">
              <w:t>analyseberedskap.</w:t>
            </w:r>
          </w:p>
        </w:tc>
        <w:tc>
          <w:tcPr>
            <w:tcW w:w="1412" w:type="dxa"/>
          </w:tcPr>
          <w:p w:rsidR="00B535FC" w:rsidRPr="002A5DBE" w:rsidRDefault="00B535FC">
            <w:pPr>
              <w:rPr>
                <w:sz w:val="44"/>
                <w:szCs w:val="44"/>
              </w:rPr>
            </w:pPr>
          </w:p>
        </w:tc>
        <w:tc>
          <w:tcPr>
            <w:tcW w:w="2546" w:type="dxa"/>
          </w:tcPr>
          <w:p w:rsidR="00B535FC" w:rsidRPr="002A5DBE" w:rsidRDefault="00B535FC">
            <w:pPr>
              <w:rPr>
                <w:sz w:val="44"/>
                <w:szCs w:val="44"/>
              </w:rPr>
            </w:pPr>
          </w:p>
        </w:tc>
      </w:tr>
      <w:tr w:rsidR="002A5DBE" w:rsidRPr="002A5DBE" w:rsidTr="009D33B9">
        <w:tc>
          <w:tcPr>
            <w:tcW w:w="5104" w:type="dxa"/>
          </w:tcPr>
          <w:p w:rsidR="002B2EA1" w:rsidRPr="002A5DBE" w:rsidRDefault="002B2EA1" w:rsidP="002B2EA1">
            <w:r w:rsidRPr="002A5DBE">
              <w:t>Prøver må fraktes fra prøvested til laboratoriet med en godkjent transportør.</w:t>
            </w:r>
          </w:p>
          <w:p w:rsidR="004027B9" w:rsidRPr="002A5DBE" w:rsidRDefault="004027B9" w:rsidP="002B2EA1"/>
        </w:tc>
        <w:tc>
          <w:tcPr>
            <w:tcW w:w="1412" w:type="dxa"/>
          </w:tcPr>
          <w:p w:rsidR="0008755B" w:rsidRPr="002A5DBE" w:rsidRDefault="0008755B">
            <w:pPr>
              <w:rPr>
                <w:sz w:val="44"/>
                <w:szCs w:val="44"/>
              </w:rPr>
            </w:pPr>
          </w:p>
        </w:tc>
        <w:tc>
          <w:tcPr>
            <w:tcW w:w="2546" w:type="dxa"/>
          </w:tcPr>
          <w:p w:rsidR="0008755B" w:rsidRPr="002A5DBE" w:rsidRDefault="0008755B">
            <w:pPr>
              <w:rPr>
                <w:sz w:val="44"/>
                <w:szCs w:val="44"/>
              </w:rPr>
            </w:pPr>
          </w:p>
        </w:tc>
      </w:tr>
      <w:tr w:rsidR="002A5DBE" w:rsidRPr="002A5DBE" w:rsidTr="009D33B9">
        <w:tc>
          <w:tcPr>
            <w:tcW w:w="5104" w:type="dxa"/>
          </w:tcPr>
          <w:p w:rsidR="002B2EA1" w:rsidRPr="002A5DBE" w:rsidRDefault="002B2EA1" w:rsidP="002B2EA1">
            <w:r w:rsidRPr="002A5DBE">
              <w:t>Prøver skal kunne tas i vanlig arbeidstid (kl 07:00-14:30), og likevel være tilbyder i hende innen lovbestemt tidsfrist, og med godkjent transportør.</w:t>
            </w:r>
          </w:p>
          <w:p w:rsidR="002B2EA1" w:rsidRPr="002A5DBE" w:rsidRDefault="002B2EA1" w:rsidP="002B2EA1"/>
        </w:tc>
        <w:tc>
          <w:tcPr>
            <w:tcW w:w="1412" w:type="dxa"/>
          </w:tcPr>
          <w:p w:rsidR="002B2EA1" w:rsidRPr="002A5DBE" w:rsidRDefault="002B2EA1" w:rsidP="002B2EA1">
            <w:pPr>
              <w:rPr>
                <w:sz w:val="44"/>
                <w:szCs w:val="44"/>
              </w:rPr>
            </w:pPr>
          </w:p>
        </w:tc>
        <w:tc>
          <w:tcPr>
            <w:tcW w:w="2546" w:type="dxa"/>
          </w:tcPr>
          <w:p w:rsidR="002B2EA1" w:rsidRPr="002A5DBE" w:rsidRDefault="002B2EA1" w:rsidP="002B2EA1">
            <w:pPr>
              <w:rPr>
                <w:sz w:val="44"/>
                <w:szCs w:val="44"/>
              </w:rPr>
            </w:pPr>
          </w:p>
        </w:tc>
      </w:tr>
      <w:tr w:rsidR="002A5DBE" w:rsidRPr="002A5DBE" w:rsidTr="009D33B9">
        <w:tc>
          <w:tcPr>
            <w:tcW w:w="5104" w:type="dxa"/>
          </w:tcPr>
          <w:p w:rsidR="002B2EA1" w:rsidRPr="002A5DBE" w:rsidRDefault="002B2EA1" w:rsidP="002B2EA1">
            <w:pPr>
              <w:pStyle w:val="Default"/>
              <w:rPr>
                <w:color w:val="auto"/>
                <w:sz w:val="22"/>
                <w:szCs w:val="22"/>
              </w:rPr>
            </w:pPr>
            <w:r w:rsidRPr="002A5DBE">
              <w:rPr>
                <w:color w:val="auto"/>
                <w:sz w:val="22"/>
                <w:szCs w:val="22"/>
              </w:rPr>
              <w:t xml:space="preserve">Der det i avløpsforskriften, drikkevannsforskrifta og gjødselsvareforskrifta er spesifisert </w:t>
            </w:r>
          </w:p>
          <w:p w:rsidR="002B2EA1" w:rsidRPr="002A5DBE" w:rsidRDefault="002B2EA1" w:rsidP="002B2EA1">
            <w:r w:rsidRPr="002A5DBE">
              <w:t>bestemte analysemetoder må disse følges.</w:t>
            </w:r>
          </w:p>
          <w:p w:rsidR="002B2EA1" w:rsidRPr="002A5DBE" w:rsidRDefault="002B2EA1" w:rsidP="002B2EA1"/>
        </w:tc>
        <w:tc>
          <w:tcPr>
            <w:tcW w:w="1412" w:type="dxa"/>
          </w:tcPr>
          <w:p w:rsidR="002B2EA1" w:rsidRPr="002A5DBE" w:rsidRDefault="002B2EA1" w:rsidP="002B2EA1">
            <w:pPr>
              <w:rPr>
                <w:sz w:val="44"/>
                <w:szCs w:val="44"/>
              </w:rPr>
            </w:pPr>
          </w:p>
        </w:tc>
        <w:tc>
          <w:tcPr>
            <w:tcW w:w="2546" w:type="dxa"/>
          </w:tcPr>
          <w:p w:rsidR="002B2EA1" w:rsidRPr="002A5DBE" w:rsidRDefault="002B2EA1" w:rsidP="002B2EA1">
            <w:pPr>
              <w:rPr>
                <w:sz w:val="44"/>
                <w:szCs w:val="44"/>
              </w:rPr>
            </w:pPr>
          </w:p>
        </w:tc>
      </w:tr>
      <w:tr w:rsidR="002A5DBE" w:rsidRPr="002A5DBE" w:rsidTr="009D33B9">
        <w:tc>
          <w:tcPr>
            <w:tcW w:w="5104" w:type="dxa"/>
          </w:tcPr>
          <w:p w:rsidR="002B2EA1" w:rsidRPr="002A5DBE" w:rsidRDefault="002B2EA1" w:rsidP="002B2EA1"/>
          <w:p w:rsidR="002B2EA1" w:rsidRPr="002A5DBE" w:rsidRDefault="002B2EA1" w:rsidP="002B2EA1"/>
        </w:tc>
        <w:tc>
          <w:tcPr>
            <w:tcW w:w="1412" w:type="dxa"/>
          </w:tcPr>
          <w:p w:rsidR="002B2EA1" w:rsidRPr="002A5DBE" w:rsidRDefault="002B2EA1" w:rsidP="002B2EA1">
            <w:pPr>
              <w:rPr>
                <w:sz w:val="44"/>
                <w:szCs w:val="44"/>
              </w:rPr>
            </w:pPr>
          </w:p>
        </w:tc>
        <w:tc>
          <w:tcPr>
            <w:tcW w:w="2546" w:type="dxa"/>
          </w:tcPr>
          <w:p w:rsidR="002B2EA1" w:rsidRPr="002A5DBE" w:rsidRDefault="002B2EA1" w:rsidP="002B2EA1">
            <w:pPr>
              <w:rPr>
                <w:sz w:val="44"/>
                <w:szCs w:val="44"/>
              </w:rPr>
            </w:pPr>
          </w:p>
        </w:tc>
      </w:tr>
      <w:tr w:rsidR="002A5DBE" w:rsidRPr="002A5DBE" w:rsidTr="009D33B9">
        <w:tc>
          <w:tcPr>
            <w:tcW w:w="5104" w:type="dxa"/>
          </w:tcPr>
          <w:p w:rsidR="002B2EA1" w:rsidRPr="002A5DBE" w:rsidRDefault="002B2EA1" w:rsidP="002B2EA1">
            <w:pPr>
              <w:pStyle w:val="Default"/>
              <w:rPr>
                <w:color w:val="auto"/>
              </w:rPr>
            </w:pPr>
            <w:r w:rsidRPr="002A5DBE">
              <w:rPr>
                <w:color w:val="auto"/>
                <w:sz w:val="22"/>
                <w:szCs w:val="22"/>
              </w:rPr>
              <w:t xml:space="preserve">Tilbyder </w:t>
            </w:r>
            <w:r w:rsidR="00DC7C32">
              <w:rPr>
                <w:color w:val="auto"/>
                <w:sz w:val="22"/>
                <w:szCs w:val="22"/>
              </w:rPr>
              <w:t>skal rapportere analyseresultater</w:t>
            </w:r>
            <w:r w:rsidRPr="002A5DBE">
              <w:rPr>
                <w:color w:val="auto"/>
                <w:sz w:val="22"/>
                <w:szCs w:val="22"/>
              </w:rPr>
              <w:t xml:space="preserve"> elektronisk på et allment tilgjengelig format.  Det skal også være mulig å importere data direkte i Excel.</w:t>
            </w:r>
          </w:p>
          <w:p w:rsidR="002B2EA1" w:rsidRPr="002A5DBE" w:rsidRDefault="002B2EA1" w:rsidP="002B2EA1"/>
        </w:tc>
        <w:tc>
          <w:tcPr>
            <w:tcW w:w="1412" w:type="dxa"/>
          </w:tcPr>
          <w:p w:rsidR="002B2EA1" w:rsidRPr="002A5DBE" w:rsidRDefault="002B2EA1" w:rsidP="002B2EA1">
            <w:pPr>
              <w:rPr>
                <w:sz w:val="44"/>
                <w:szCs w:val="44"/>
              </w:rPr>
            </w:pPr>
          </w:p>
        </w:tc>
        <w:tc>
          <w:tcPr>
            <w:tcW w:w="2546" w:type="dxa"/>
          </w:tcPr>
          <w:p w:rsidR="002B2EA1" w:rsidRPr="002A5DBE" w:rsidRDefault="002B2EA1" w:rsidP="002B2EA1">
            <w:pPr>
              <w:rPr>
                <w:sz w:val="44"/>
                <w:szCs w:val="44"/>
              </w:rPr>
            </w:pPr>
          </w:p>
        </w:tc>
      </w:tr>
      <w:tr w:rsidR="002A5DBE" w:rsidRPr="002A5DBE" w:rsidTr="009D33B9">
        <w:tc>
          <w:tcPr>
            <w:tcW w:w="5104" w:type="dxa"/>
          </w:tcPr>
          <w:p w:rsidR="002B2EA1" w:rsidRPr="002A5DBE" w:rsidRDefault="002B2EA1" w:rsidP="002B2EA1">
            <w:r w:rsidRPr="002A5DBE">
              <w:t>All kommunikasjon mellom tilbyder og oppdragsgiver skal være på norsk.</w:t>
            </w:r>
          </w:p>
          <w:p w:rsidR="002B2EA1" w:rsidRPr="002A5DBE" w:rsidRDefault="002B2EA1" w:rsidP="002B2EA1"/>
        </w:tc>
        <w:tc>
          <w:tcPr>
            <w:tcW w:w="1412" w:type="dxa"/>
          </w:tcPr>
          <w:p w:rsidR="002B2EA1" w:rsidRPr="002A5DBE" w:rsidRDefault="002B2EA1" w:rsidP="002B2EA1">
            <w:pPr>
              <w:rPr>
                <w:sz w:val="44"/>
                <w:szCs w:val="44"/>
              </w:rPr>
            </w:pPr>
          </w:p>
        </w:tc>
        <w:tc>
          <w:tcPr>
            <w:tcW w:w="2546" w:type="dxa"/>
          </w:tcPr>
          <w:p w:rsidR="002B2EA1" w:rsidRPr="002A5DBE" w:rsidRDefault="002B2EA1" w:rsidP="002B2EA1">
            <w:pPr>
              <w:rPr>
                <w:sz w:val="44"/>
                <w:szCs w:val="44"/>
              </w:rPr>
            </w:pPr>
          </w:p>
        </w:tc>
      </w:tr>
      <w:tr w:rsidR="002A5DBE" w:rsidRPr="002A5DBE" w:rsidTr="009D33B9">
        <w:tc>
          <w:tcPr>
            <w:tcW w:w="5104" w:type="dxa"/>
          </w:tcPr>
          <w:p w:rsidR="002B2EA1" w:rsidRPr="002A5DBE" w:rsidRDefault="002B2EA1" w:rsidP="002B2EA1">
            <w:r w:rsidRPr="002A5DBE">
              <w:lastRenderedPageBreak/>
              <w:t>Laboratoriet skal låne ut all nødvendig prøveemballasje inkludert transportemballasje.</w:t>
            </w:r>
          </w:p>
          <w:p w:rsidR="002B2EA1" w:rsidRPr="002A5DBE" w:rsidRDefault="002B2EA1" w:rsidP="002B2EA1"/>
        </w:tc>
        <w:tc>
          <w:tcPr>
            <w:tcW w:w="1412" w:type="dxa"/>
          </w:tcPr>
          <w:p w:rsidR="002B2EA1" w:rsidRPr="002A5DBE" w:rsidRDefault="002B2EA1" w:rsidP="002B2EA1">
            <w:pPr>
              <w:rPr>
                <w:sz w:val="44"/>
                <w:szCs w:val="44"/>
              </w:rPr>
            </w:pPr>
          </w:p>
        </w:tc>
        <w:tc>
          <w:tcPr>
            <w:tcW w:w="2546" w:type="dxa"/>
          </w:tcPr>
          <w:p w:rsidR="002B2EA1" w:rsidRPr="002A5DBE" w:rsidRDefault="002B2EA1" w:rsidP="002B2EA1">
            <w:pPr>
              <w:rPr>
                <w:sz w:val="44"/>
                <w:szCs w:val="44"/>
              </w:rPr>
            </w:pPr>
          </w:p>
        </w:tc>
      </w:tr>
      <w:tr w:rsidR="002A5DBE" w:rsidRPr="002A5DBE" w:rsidTr="009D33B9">
        <w:tc>
          <w:tcPr>
            <w:tcW w:w="5104" w:type="dxa"/>
          </w:tcPr>
          <w:p w:rsidR="002B2EA1" w:rsidRPr="002A5DBE" w:rsidRDefault="002B2EA1" w:rsidP="001B06AB">
            <w:r w:rsidRPr="002A5DBE">
              <w:t xml:space="preserve">Laboratoriet </w:t>
            </w:r>
            <w:r w:rsidR="001B06AB">
              <w:t xml:space="preserve">må </w:t>
            </w:r>
            <w:r w:rsidRPr="002A5DBE">
              <w:t>ha</w:t>
            </w:r>
            <w:r w:rsidR="001B06AB">
              <w:t xml:space="preserve"> analyseberedskap.</w:t>
            </w:r>
            <w:r w:rsidRPr="002A5DBE">
              <w:t xml:space="preserve"> </w:t>
            </w:r>
            <w:r w:rsidR="001E7A5F" w:rsidRPr="002A5DBE">
              <w:t xml:space="preserve">Ved fravik utover tillatte grenseverdier, skal leverandøren omgående, og uten </w:t>
            </w:r>
            <w:r w:rsidR="00C72102" w:rsidRPr="002A5DBE">
              <w:t>ugrunnet opphold varsle kommunene</w:t>
            </w:r>
            <w:r w:rsidR="00DC7C32">
              <w:t>s</w:t>
            </w:r>
            <w:r w:rsidR="00C72102" w:rsidRPr="002A5DBE">
              <w:t xml:space="preserve"> kontaktperson telefonisk.  Telefonisk varsel skal bekreftes skriftlig til avtalt rolle/person.</w:t>
            </w:r>
          </w:p>
        </w:tc>
        <w:tc>
          <w:tcPr>
            <w:tcW w:w="1412" w:type="dxa"/>
          </w:tcPr>
          <w:p w:rsidR="002B2EA1" w:rsidRPr="002A5DBE" w:rsidRDefault="002B2EA1" w:rsidP="002B2EA1">
            <w:pPr>
              <w:rPr>
                <w:sz w:val="44"/>
                <w:szCs w:val="44"/>
              </w:rPr>
            </w:pPr>
          </w:p>
        </w:tc>
        <w:tc>
          <w:tcPr>
            <w:tcW w:w="2546" w:type="dxa"/>
          </w:tcPr>
          <w:p w:rsidR="002B2EA1" w:rsidRPr="002A5DBE" w:rsidRDefault="002B2EA1" w:rsidP="002B2EA1">
            <w:pPr>
              <w:rPr>
                <w:sz w:val="44"/>
                <w:szCs w:val="44"/>
              </w:rPr>
            </w:pPr>
          </w:p>
        </w:tc>
      </w:tr>
      <w:tr w:rsidR="002A5DBE" w:rsidRPr="002A5DBE" w:rsidTr="009D33B9">
        <w:tc>
          <w:tcPr>
            <w:tcW w:w="5104" w:type="dxa"/>
          </w:tcPr>
          <w:p w:rsidR="002B2EA1" w:rsidRPr="002A5DBE" w:rsidRDefault="002B2EA1" w:rsidP="002B2EA1"/>
        </w:tc>
        <w:tc>
          <w:tcPr>
            <w:tcW w:w="1412" w:type="dxa"/>
          </w:tcPr>
          <w:p w:rsidR="002B2EA1" w:rsidRPr="002A5DBE" w:rsidRDefault="002B2EA1" w:rsidP="002B2EA1">
            <w:pPr>
              <w:rPr>
                <w:sz w:val="44"/>
                <w:szCs w:val="44"/>
              </w:rPr>
            </w:pPr>
          </w:p>
        </w:tc>
        <w:tc>
          <w:tcPr>
            <w:tcW w:w="2546" w:type="dxa"/>
          </w:tcPr>
          <w:p w:rsidR="002B2EA1" w:rsidRPr="002A5DBE" w:rsidRDefault="002B2EA1" w:rsidP="002B2EA1">
            <w:pPr>
              <w:rPr>
                <w:sz w:val="44"/>
                <w:szCs w:val="44"/>
              </w:rPr>
            </w:pPr>
          </w:p>
        </w:tc>
      </w:tr>
      <w:tr w:rsidR="009D33B9" w:rsidRPr="002A5DBE" w:rsidTr="009D33B9">
        <w:tc>
          <w:tcPr>
            <w:tcW w:w="5104" w:type="dxa"/>
          </w:tcPr>
          <w:p w:rsidR="00EA5ED0" w:rsidRPr="00EA5ED0" w:rsidRDefault="002A5DBE" w:rsidP="002B2EA1">
            <w:pPr>
              <w:rPr>
                <w:b/>
              </w:rPr>
            </w:pPr>
            <w:r w:rsidRPr="00EA5ED0">
              <w:rPr>
                <w:b/>
              </w:rPr>
              <w:t>E</w:t>
            </w:r>
            <w:r w:rsidR="00EA5ED0" w:rsidRPr="00EA5ED0">
              <w:rPr>
                <w:b/>
              </w:rPr>
              <w:t>-</w:t>
            </w:r>
            <w:r w:rsidRPr="00EA5ED0">
              <w:rPr>
                <w:b/>
              </w:rPr>
              <w:t>faktura</w:t>
            </w:r>
            <w:r w:rsidR="00EA5ED0" w:rsidRPr="00EA5ED0">
              <w:rPr>
                <w:b/>
              </w:rPr>
              <w:t xml:space="preserve">.  </w:t>
            </w:r>
          </w:p>
          <w:p w:rsidR="002A5DBE" w:rsidRDefault="00EA5ED0" w:rsidP="002B2EA1">
            <w:r>
              <w:t>Kan tilbyder levere E-faktura på tilbudstidspunktet?</w:t>
            </w:r>
          </w:p>
          <w:p w:rsidR="00EA5ED0" w:rsidRPr="002A5DBE" w:rsidRDefault="00EA5ED0" w:rsidP="002B2EA1">
            <w:r>
              <w:t>Hvis ikke, når kan dette være på plass?</w:t>
            </w:r>
          </w:p>
        </w:tc>
        <w:tc>
          <w:tcPr>
            <w:tcW w:w="1412" w:type="dxa"/>
          </w:tcPr>
          <w:p w:rsidR="002A5DBE" w:rsidRPr="002A5DBE" w:rsidRDefault="002A5DBE" w:rsidP="002B2EA1">
            <w:pPr>
              <w:rPr>
                <w:sz w:val="44"/>
                <w:szCs w:val="44"/>
              </w:rPr>
            </w:pPr>
          </w:p>
        </w:tc>
        <w:tc>
          <w:tcPr>
            <w:tcW w:w="2546" w:type="dxa"/>
          </w:tcPr>
          <w:p w:rsidR="002A5DBE" w:rsidRPr="002A5DBE" w:rsidRDefault="002A5DBE" w:rsidP="002B2EA1">
            <w:pPr>
              <w:rPr>
                <w:sz w:val="44"/>
                <w:szCs w:val="44"/>
              </w:rPr>
            </w:pPr>
          </w:p>
        </w:tc>
      </w:tr>
      <w:tr w:rsidR="002B2EA1" w:rsidTr="009D33B9">
        <w:tc>
          <w:tcPr>
            <w:tcW w:w="5104" w:type="dxa"/>
            <w:shd w:val="clear" w:color="auto" w:fill="F2F2F2" w:themeFill="background1" w:themeFillShade="F2"/>
          </w:tcPr>
          <w:p w:rsidR="002B2EA1" w:rsidRPr="00D77311" w:rsidRDefault="00D77311" w:rsidP="002B2EA1">
            <w:pPr>
              <w:rPr>
                <w:b/>
                <w:sz w:val="28"/>
                <w:szCs w:val="28"/>
              </w:rPr>
            </w:pPr>
            <w:r w:rsidRPr="00D77311">
              <w:rPr>
                <w:b/>
                <w:sz w:val="28"/>
                <w:szCs w:val="28"/>
              </w:rPr>
              <w:t>Rutinebeskrivelser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:rsidR="002B2EA1" w:rsidRDefault="002B2EA1" w:rsidP="002B2EA1">
            <w:pPr>
              <w:rPr>
                <w:sz w:val="44"/>
                <w:szCs w:val="44"/>
              </w:rPr>
            </w:pPr>
          </w:p>
        </w:tc>
        <w:tc>
          <w:tcPr>
            <w:tcW w:w="2546" w:type="dxa"/>
            <w:shd w:val="clear" w:color="auto" w:fill="F2F2F2" w:themeFill="background1" w:themeFillShade="F2"/>
          </w:tcPr>
          <w:p w:rsidR="002B2EA1" w:rsidRDefault="002B2EA1" w:rsidP="002B2EA1">
            <w:pPr>
              <w:rPr>
                <w:sz w:val="44"/>
                <w:szCs w:val="44"/>
              </w:rPr>
            </w:pPr>
          </w:p>
        </w:tc>
      </w:tr>
      <w:tr w:rsidR="00D77311" w:rsidTr="009D33B9">
        <w:tc>
          <w:tcPr>
            <w:tcW w:w="5104" w:type="dxa"/>
            <w:shd w:val="clear" w:color="auto" w:fill="auto"/>
          </w:tcPr>
          <w:p w:rsidR="007133E4" w:rsidRPr="002C129F" w:rsidRDefault="007133E4" w:rsidP="007133E4"/>
        </w:tc>
        <w:tc>
          <w:tcPr>
            <w:tcW w:w="1412" w:type="dxa"/>
            <w:shd w:val="clear" w:color="auto" w:fill="auto"/>
          </w:tcPr>
          <w:p w:rsidR="00D77311" w:rsidRPr="002C129F" w:rsidRDefault="00D77311" w:rsidP="002B2EA1"/>
        </w:tc>
        <w:tc>
          <w:tcPr>
            <w:tcW w:w="2546" w:type="dxa"/>
            <w:shd w:val="clear" w:color="auto" w:fill="auto"/>
          </w:tcPr>
          <w:p w:rsidR="00D77311" w:rsidRPr="002C129F" w:rsidRDefault="00D77311" w:rsidP="002B2EA1"/>
        </w:tc>
      </w:tr>
      <w:tr w:rsidR="002A5DBE" w:rsidTr="009D33B9">
        <w:tc>
          <w:tcPr>
            <w:tcW w:w="5104" w:type="dxa"/>
            <w:shd w:val="clear" w:color="auto" w:fill="auto"/>
          </w:tcPr>
          <w:p w:rsidR="002A5DBE" w:rsidRPr="00333F4C" w:rsidRDefault="007133E4" w:rsidP="002B2EA1">
            <w:pPr>
              <w:rPr>
                <w:b/>
              </w:rPr>
            </w:pPr>
            <w:r w:rsidRPr="00333F4C">
              <w:rPr>
                <w:b/>
              </w:rPr>
              <w:t>Analyserapporter/avviksbehandling</w:t>
            </w:r>
          </w:p>
          <w:p w:rsidR="00E408AD" w:rsidRPr="00333F4C" w:rsidRDefault="00E408AD" w:rsidP="00E408AD">
            <w:r w:rsidRPr="00333F4C">
              <w:t>Tilbyder skal rapportere analyseresultatene elektronisk på et allment tilgjengelig format.  Det skal også være mulig å importere data direkte i Excel.</w:t>
            </w:r>
          </w:p>
          <w:p w:rsidR="00E408AD" w:rsidRPr="00EF7DFD" w:rsidRDefault="00E408AD" w:rsidP="00E408AD">
            <w:pPr>
              <w:rPr>
                <w:color w:val="FF0000"/>
              </w:rPr>
            </w:pPr>
          </w:p>
        </w:tc>
        <w:tc>
          <w:tcPr>
            <w:tcW w:w="1412" w:type="dxa"/>
            <w:shd w:val="clear" w:color="auto" w:fill="auto"/>
          </w:tcPr>
          <w:p w:rsidR="002A5DBE" w:rsidRPr="00EF7DFD" w:rsidRDefault="002A5DBE" w:rsidP="002B2EA1">
            <w:pPr>
              <w:rPr>
                <w:color w:val="FF0000"/>
              </w:rPr>
            </w:pPr>
          </w:p>
        </w:tc>
        <w:tc>
          <w:tcPr>
            <w:tcW w:w="2546" w:type="dxa"/>
            <w:shd w:val="clear" w:color="auto" w:fill="auto"/>
          </w:tcPr>
          <w:p w:rsidR="002A5DBE" w:rsidRPr="002C129F" w:rsidRDefault="002A5DBE" w:rsidP="002B2EA1"/>
        </w:tc>
      </w:tr>
      <w:tr w:rsidR="002A5DBE" w:rsidTr="009D33B9">
        <w:tc>
          <w:tcPr>
            <w:tcW w:w="5104" w:type="dxa"/>
            <w:shd w:val="clear" w:color="auto" w:fill="auto"/>
          </w:tcPr>
          <w:p w:rsidR="002A5DBE" w:rsidRDefault="00E408AD" w:rsidP="002B2EA1">
            <w:pPr>
              <w:rPr>
                <w:b/>
              </w:rPr>
            </w:pPr>
            <w:r>
              <w:rPr>
                <w:b/>
              </w:rPr>
              <w:t>Rutiner for gjennomføring og rapportering av hasteanalyser</w:t>
            </w:r>
          </w:p>
          <w:p w:rsidR="00E408AD" w:rsidRDefault="00E408AD" w:rsidP="002B2EA1">
            <w:r>
              <w:t>I tillegg til beskrivelsen ovenfor, må tilbyder her</w:t>
            </w:r>
            <w:r w:rsidR="001B06AB">
              <w:t xml:space="preserve"> oppgi</w:t>
            </w:r>
            <w:r>
              <w:t xml:space="preserve"> </w:t>
            </w:r>
            <w:r w:rsidR="001B06AB">
              <w:t>v</w:t>
            </w:r>
            <w:r w:rsidR="001B06AB" w:rsidRPr="002A5DBE">
              <w:t>arslingsfrister, rapporteringsform</w:t>
            </w:r>
            <w:r w:rsidR="001B06AB">
              <w:t>, rapporteringsveier</w:t>
            </w:r>
            <w:r w:rsidR="001B06AB" w:rsidRPr="002A5DBE">
              <w:t xml:space="preserve"> og vilkår</w:t>
            </w:r>
            <w:r w:rsidR="001B06AB">
              <w:t xml:space="preserve">, samt </w:t>
            </w:r>
            <w:r w:rsidR="00304CC4">
              <w:t xml:space="preserve">eventuelle forskjeller på hverdag og helgedager.  </w:t>
            </w:r>
          </w:p>
          <w:p w:rsidR="00304CC4" w:rsidRDefault="00304CC4" w:rsidP="002B2EA1">
            <w:r>
              <w:t>Rutinen evalueres under punkt 4.2.3 i konkurransegrunnlaget.</w:t>
            </w:r>
          </w:p>
          <w:p w:rsidR="001B06AB" w:rsidRPr="00E408AD" w:rsidRDefault="001B06AB" w:rsidP="002B2EA1">
            <w:r w:rsidRPr="002A5DBE">
              <w:t>Pr</w:t>
            </w:r>
            <w:r>
              <w:t>is oppgis i anbudets prisskjema som «per oppdrag»</w:t>
            </w:r>
          </w:p>
        </w:tc>
        <w:tc>
          <w:tcPr>
            <w:tcW w:w="1412" w:type="dxa"/>
            <w:shd w:val="clear" w:color="auto" w:fill="auto"/>
          </w:tcPr>
          <w:p w:rsidR="002A5DBE" w:rsidRPr="002C129F" w:rsidRDefault="002A5DBE" w:rsidP="002B2EA1"/>
        </w:tc>
        <w:tc>
          <w:tcPr>
            <w:tcW w:w="2546" w:type="dxa"/>
            <w:shd w:val="clear" w:color="auto" w:fill="auto"/>
          </w:tcPr>
          <w:p w:rsidR="002A5DBE" w:rsidRPr="002C129F" w:rsidRDefault="002A5DBE" w:rsidP="002B2EA1"/>
        </w:tc>
      </w:tr>
      <w:tr w:rsidR="002A5DBE" w:rsidTr="009D33B9">
        <w:tc>
          <w:tcPr>
            <w:tcW w:w="5104" w:type="dxa"/>
            <w:shd w:val="clear" w:color="auto" w:fill="auto"/>
          </w:tcPr>
          <w:p w:rsidR="002A5DBE" w:rsidRDefault="00304CC4" w:rsidP="000C2C66">
            <w:pPr>
              <w:rPr>
                <w:b/>
              </w:rPr>
            </w:pPr>
            <w:r>
              <w:rPr>
                <w:b/>
              </w:rPr>
              <w:t>Rutiner for transport og mottak av prøver</w:t>
            </w:r>
          </w:p>
          <w:p w:rsidR="00304CC4" w:rsidRDefault="00304CC4" w:rsidP="00FE3B4F">
            <w:r>
              <w:t>Tilbyder skal beskrive sitt op</w:t>
            </w:r>
            <w:r w:rsidRPr="00304CC4">
              <w:t>plegg</w:t>
            </w:r>
            <w:r>
              <w:t xml:space="preserve"> </w:t>
            </w:r>
            <w:r w:rsidR="00FE3B4F">
              <w:t xml:space="preserve">for aktuell </w:t>
            </w:r>
            <w:r>
              <w:t>forsendelsesmåte</w:t>
            </w:r>
            <w:r w:rsidR="00FE3B4F">
              <w:t xml:space="preserve"> per kommune, samt opplysninger om adekvat emballasje. Det skal oppgis tiden det tar fra prøvene sendes fra kommunen, og til de ankommer laboratoriet for analyse.</w:t>
            </w:r>
          </w:p>
          <w:p w:rsidR="00545884" w:rsidRDefault="00545884" w:rsidP="00FE3B4F">
            <w:r>
              <w:t xml:space="preserve">Tilbyder må faglig kunne bevise at tilbudt forsendelsesmåte ikke forringer prøvenes kvalitet og sammensetning, jamfør forskrifter.  </w:t>
            </w:r>
          </w:p>
          <w:p w:rsidR="00545884" w:rsidRDefault="00EA5ED0" w:rsidP="00FE3B4F">
            <w:r>
              <w:t>Rutinen evalueres under punkt 4.2.3 i konkurransegrunnlaget.</w:t>
            </w:r>
          </w:p>
          <w:p w:rsidR="00545884" w:rsidRPr="00304CC4" w:rsidRDefault="00545884" w:rsidP="00042454">
            <w:r>
              <w:t>Pris for tilbudt transport skal oppgis i prisskjema.</w:t>
            </w:r>
          </w:p>
        </w:tc>
        <w:tc>
          <w:tcPr>
            <w:tcW w:w="1412" w:type="dxa"/>
            <w:shd w:val="clear" w:color="auto" w:fill="auto"/>
          </w:tcPr>
          <w:p w:rsidR="002A5DBE" w:rsidRPr="002C129F" w:rsidRDefault="002A5DBE" w:rsidP="000C2C66"/>
        </w:tc>
        <w:tc>
          <w:tcPr>
            <w:tcW w:w="2546" w:type="dxa"/>
            <w:shd w:val="clear" w:color="auto" w:fill="auto"/>
          </w:tcPr>
          <w:p w:rsidR="002A5DBE" w:rsidRPr="002C129F" w:rsidRDefault="002A5DBE" w:rsidP="000C2C66"/>
        </w:tc>
      </w:tr>
    </w:tbl>
    <w:p w:rsidR="00486603" w:rsidRPr="00486603" w:rsidRDefault="00486603" w:rsidP="009D33B9">
      <w:pPr>
        <w:rPr>
          <w:sz w:val="44"/>
          <w:szCs w:val="44"/>
        </w:rPr>
      </w:pPr>
    </w:p>
    <w:sectPr w:rsidR="00486603" w:rsidRPr="00486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61022"/>
    <w:multiLevelType w:val="hybridMultilevel"/>
    <w:tmpl w:val="340E4D7A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03"/>
    <w:rsid w:val="00042454"/>
    <w:rsid w:val="0008755B"/>
    <w:rsid w:val="000B18B2"/>
    <w:rsid w:val="000E0F3D"/>
    <w:rsid w:val="001B06AB"/>
    <w:rsid w:val="001E13D9"/>
    <w:rsid w:val="001E7A5F"/>
    <w:rsid w:val="002079BA"/>
    <w:rsid w:val="00234CD0"/>
    <w:rsid w:val="00271814"/>
    <w:rsid w:val="00282532"/>
    <w:rsid w:val="002A29C0"/>
    <w:rsid w:val="002A5DBE"/>
    <w:rsid w:val="002B2EA1"/>
    <w:rsid w:val="002C129F"/>
    <w:rsid w:val="00304CC4"/>
    <w:rsid w:val="00311BB7"/>
    <w:rsid w:val="00333F4C"/>
    <w:rsid w:val="00361CA8"/>
    <w:rsid w:val="003B77D6"/>
    <w:rsid w:val="003E5C14"/>
    <w:rsid w:val="004027B9"/>
    <w:rsid w:val="00486603"/>
    <w:rsid w:val="004B7584"/>
    <w:rsid w:val="004C4EB6"/>
    <w:rsid w:val="004E04C8"/>
    <w:rsid w:val="004E7916"/>
    <w:rsid w:val="004F5D9A"/>
    <w:rsid w:val="00545884"/>
    <w:rsid w:val="005775E7"/>
    <w:rsid w:val="005E4D54"/>
    <w:rsid w:val="00683C12"/>
    <w:rsid w:val="006A021A"/>
    <w:rsid w:val="006B7BCA"/>
    <w:rsid w:val="007133E4"/>
    <w:rsid w:val="00830714"/>
    <w:rsid w:val="00845EC2"/>
    <w:rsid w:val="00970346"/>
    <w:rsid w:val="00976C41"/>
    <w:rsid w:val="009D33B9"/>
    <w:rsid w:val="00A27ED9"/>
    <w:rsid w:val="00B007FA"/>
    <w:rsid w:val="00B535FC"/>
    <w:rsid w:val="00C2009B"/>
    <w:rsid w:val="00C72102"/>
    <w:rsid w:val="00D77311"/>
    <w:rsid w:val="00DA0244"/>
    <w:rsid w:val="00DC7C32"/>
    <w:rsid w:val="00E408AD"/>
    <w:rsid w:val="00EA5ED0"/>
    <w:rsid w:val="00EF7DFD"/>
    <w:rsid w:val="00FE3B4F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6669-5C25-441E-923F-5C792F00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8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B18B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18B2"/>
    <w:rPr>
      <w:rFonts w:ascii="Arial" w:hAnsi="Arial" w:cs="Arial"/>
      <w:sz w:val="16"/>
      <w:szCs w:val="16"/>
    </w:rPr>
  </w:style>
  <w:style w:type="paragraph" w:customStyle="1" w:styleId="Default">
    <w:name w:val="Default"/>
    <w:rsid w:val="00FF5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497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Gjertrud Eggen</dc:creator>
  <cp:lastModifiedBy>Bjarne Skarpmo</cp:lastModifiedBy>
  <cp:revision>12</cp:revision>
  <dcterms:created xsi:type="dcterms:W3CDTF">2017-01-23T13:16:00Z</dcterms:created>
  <dcterms:modified xsi:type="dcterms:W3CDTF">2017-07-10T06:36:00Z</dcterms:modified>
</cp:coreProperties>
</file>