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B8C4" w14:textId="2D82BA7F" w:rsidR="00823B50" w:rsidRPr="003D27AE" w:rsidRDefault="0085633A" w:rsidP="00823B50">
      <w:pPr>
        <w:pStyle w:val="Tittel"/>
        <w:rPr>
          <w:sz w:val="46"/>
          <w:szCs w:val="46"/>
        </w:rPr>
      </w:pPr>
      <w:r w:rsidRPr="003D27AE">
        <w:rPr>
          <w:sz w:val="46"/>
          <w:szCs w:val="46"/>
        </w:rPr>
        <w:t xml:space="preserve">Vedlegg </w:t>
      </w:r>
      <w:r w:rsidR="00E105BD">
        <w:rPr>
          <w:sz w:val="46"/>
          <w:szCs w:val="46"/>
        </w:rPr>
        <w:t>4</w:t>
      </w:r>
      <w:r w:rsidR="00823B50" w:rsidRPr="003D27AE">
        <w:rPr>
          <w:sz w:val="46"/>
          <w:szCs w:val="46"/>
        </w:rPr>
        <w:t xml:space="preserve"> Kontraktskrav til etisk handel</w:t>
      </w:r>
    </w:p>
    <w:p w14:paraId="4D40E4AF" w14:textId="77777777" w:rsidR="0073020E" w:rsidRDefault="00823B50" w:rsidP="00823B50">
      <w:r w:rsidRPr="0073020E">
        <w:rPr>
          <w:rStyle w:val="UndertittelTegn"/>
        </w:rPr>
        <w:t>Kontraktsvilkår for ivaretakelse av grunnleggende menneskerettigheter i leverandørkjeden.</w:t>
      </w:r>
      <w:r>
        <w:t xml:space="preserve"> </w:t>
      </w:r>
    </w:p>
    <w:p w14:paraId="4D91F13B" w14:textId="77777777" w:rsidR="00823B50" w:rsidRDefault="00823B50" w:rsidP="00823B50">
      <w:r>
        <w:t xml:space="preserve">Leverandøren skal under hele kontraktsperioden overholde punkt 1-4 i kontraktsvilkårene.  </w:t>
      </w:r>
    </w:p>
    <w:p w14:paraId="72E03C9F" w14:textId="535A5A21" w:rsidR="00823B50" w:rsidRDefault="00823B50" w:rsidP="00823B50">
      <w:r>
        <w:t xml:space="preserve">Kontraktsvilkårene bygger på FNs veiledende prinsipper for næringsliv og menneskerettigheter </w:t>
      </w:r>
      <w:r w:rsidR="00BA2BAD" w:rsidRPr="00AC6CF4">
        <w:t>(UNGP) og OECDs retningslinjer for ansvarlig næringsliv</w:t>
      </w:r>
      <w:r w:rsidR="00BA2BAD">
        <w:t xml:space="preserve"> </w:t>
      </w:r>
      <w:r>
        <w:t xml:space="preserve">med aktsomhetsvurderinger som metode. </w:t>
      </w:r>
      <w:r w:rsidR="00BA2BAD">
        <w:t>Begge rammeverkene anbefaler a</w:t>
      </w:r>
      <w:r>
        <w:t>ktsomhetsvurderinger</w:t>
      </w:r>
      <w:r w:rsidR="00AB5C08">
        <w:t xml:space="preserve"> </w:t>
      </w:r>
      <w:r w:rsidR="00AB5C08" w:rsidRPr="00AC6CF4">
        <w:t>som foretrukket metode for å kartlegge, forebygge, begrense og gjøre rede for hvordan virksomheter håndterer eventuell negativ påvirkning på arbeidstaker- og menneskerettigheter i egen virksomhet og i leverandørkjeden</w:t>
      </w:r>
      <w:r>
        <w:t xml:space="preserve"> </w:t>
      </w:r>
    </w:p>
    <w:p w14:paraId="1F8297F3" w14:textId="77777777" w:rsidR="00823B50" w:rsidRDefault="00823B50" w:rsidP="00823B50">
      <w:r>
        <w:t>Dersom Leverandøren bruker underleverandører for å oppfylle denne kontrakt, er Leverandøren forpliktet til å videreføre og bidra til etterlevelse av kravene i leverandørkjeden.</w:t>
      </w:r>
    </w:p>
    <w:p w14:paraId="700C063D" w14:textId="77777777" w:rsidR="00823B50" w:rsidRDefault="00823B50" w:rsidP="00823B50"/>
    <w:p w14:paraId="18583E82" w14:textId="77777777" w:rsidR="00823B50" w:rsidRDefault="00823B50" w:rsidP="00823B50">
      <w:pPr>
        <w:pStyle w:val="Overskrift1"/>
      </w:pPr>
      <w:r>
        <w:t>Overholdelse av internasjonale konvensjoner og arbeidsmiljølovgivningen i produksjonsland</w:t>
      </w:r>
    </w:p>
    <w:p w14:paraId="0C62CDE2" w14:textId="6822A0BC" w:rsidR="00823B50" w:rsidRDefault="00823B50" w:rsidP="00823B50">
      <w:r>
        <w:t xml:space="preserve">Varene som leveres i denne kontrakt skal være fremstilt under forhold som er i overensstemmelse med kravene </w:t>
      </w:r>
      <w:r w:rsidR="00AB5C08">
        <w:t xml:space="preserve">i konvensjonene og lovgivningen </w:t>
      </w:r>
      <w:r>
        <w:t>angitt nedenfor. Kravene gjelder i Leverandørens egen virksomhet og i leverandørkjeden</w:t>
      </w:r>
      <w:r w:rsidR="00AB5C08">
        <w:t xml:space="preserve"> og </w:t>
      </w:r>
      <w:r>
        <w:t xml:space="preserve">omfatter:   </w:t>
      </w:r>
    </w:p>
    <w:p w14:paraId="01744D78" w14:textId="0AC0512D" w:rsidR="00823B50" w:rsidRDefault="00823B50" w:rsidP="00A07C74">
      <w:pPr>
        <w:pStyle w:val="Listeavsnitt"/>
        <w:numPr>
          <w:ilvl w:val="0"/>
          <w:numId w:val="17"/>
        </w:numPr>
      </w:pPr>
      <w:r>
        <w:t xml:space="preserve">ILOs kjernekonvensjoner om tvangsarbeid, barnearbeid, diskriminering, fagforeningsrettigheter og retten til kollektive forhandlinger: nr. 29, 87, 98, 100, 105, 111, 138 og 182. Der hvor konvensjon 87 og 98 er begrenset ved nasjonal lov skal arbeidsgiveren legge til rette for, og ikke hindre alternative mekanismer for fri og uavhengig organisering og forhandling. </w:t>
      </w:r>
    </w:p>
    <w:p w14:paraId="65CCA73E" w14:textId="0CDE1573" w:rsidR="00823B50" w:rsidRDefault="00823B50" w:rsidP="00823B50">
      <w:pPr>
        <w:pStyle w:val="Listeavsnitt"/>
        <w:numPr>
          <w:ilvl w:val="0"/>
          <w:numId w:val="17"/>
        </w:numPr>
      </w:pPr>
      <w:r>
        <w:t xml:space="preserve">FNs barnekonvensjon, artikkel 32. </w:t>
      </w:r>
    </w:p>
    <w:p w14:paraId="7738EDA2" w14:textId="5F150CEC" w:rsidR="00823B50" w:rsidRDefault="00823B50" w:rsidP="00823B50">
      <w:pPr>
        <w:pStyle w:val="Listeavsnitt"/>
        <w:numPr>
          <w:ilvl w:val="0"/>
          <w:numId w:val="17"/>
        </w:numPr>
      </w:pPr>
      <w:r>
        <w:t>Arbeidsmiljølovgivningen i produksjonsland</w:t>
      </w:r>
      <w:r w:rsidR="00AB5C08">
        <w:rPr>
          <w:rStyle w:val="Fotnotereferanse"/>
        </w:rPr>
        <w:footnoteReference w:id="2"/>
      </w:r>
      <w:r>
        <w:t xml:space="preserve">. Av særlige relevante forhold fremheves 1) lønns- og arbeidstidsbestemmelser, 2) helse, miljø og sikkerhet, 3) regulære ansettelsesforhold, inklusive arbeidskontrakter, samt 4) lovfestede forsikringer og sosiale ordninger.  </w:t>
      </w:r>
    </w:p>
    <w:p w14:paraId="5E014BAC" w14:textId="77777777" w:rsidR="00823B50" w:rsidRDefault="00823B50" w:rsidP="00823B50">
      <w:r>
        <w:t xml:space="preserve">Der hvor internasjonale konvensjoner og nasjonal lovgivning omhandler samme tema, skal den høyeste standarden alltid gjelde.  </w:t>
      </w:r>
    </w:p>
    <w:p w14:paraId="72C0EE02" w14:textId="77777777" w:rsidR="00823B50" w:rsidRDefault="00823B50" w:rsidP="00823B50">
      <w:pPr>
        <w:pStyle w:val="Overskrift1"/>
      </w:pPr>
      <w:r>
        <w:t xml:space="preserve">Policys og rutiner </w:t>
      </w:r>
    </w:p>
    <w:p w14:paraId="6E77AB79" w14:textId="20BBDD54" w:rsidR="00823B50" w:rsidRDefault="00823B50" w:rsidP="00823B50">
      <w:r>
        <w:t xml:space="preserve">For å </w:t>
      </w:r>
      <w:r w:rsidR="00AB5C08">
        <w:t>sikre etterlevelse</w:t>
      </w:r>
      <w:r w:rsidR="001942AC">
        <w:t xml:space="preserve"> av</w:t>
      </w:r>
      <w:r w:rsidR="00AB5C08">
        <w:t xml:space="preserve"> </w:t>
      </w:r>
      <w:r>
        <w:t>kravene i punkt 1, samt for å forebygge og håndtere eventuelle avvik fra kravene, skal Leverandøren ved kontraktsstart,</w:t>
      </w:r>
      <w:r w:rsidR="001942AC" w:rsidRPr="001942AC">
        <w:rPr>
          <w:iCs/>
        </w:rPr>
        <w:t xml:space="preserve"> </w:t>
      </w:r>
      <w:r w:rsidR="001942AC" w:rsidRPr="00986349">
        <w:rPr>
          <w:iCs/>
        </w:rPr>
        <w:t>ha</w:t>
      </w:r>
      <w:r w:rsidR="001942AC">
        <w:rPr>
          <w:iCs/>
        </w:rPr>
        <w:t xml:space="preserve"> policys og rutiner på plass for aktsomhetsvurdering ved kontraktsstart. </w:t>
      </w:r>
      <w:r>
        <w:t xml:space="preserve"> </w:t>
      </w:r>
    </w:p>
    <w:p w14:paraId="41F78797" w14:textId="77777777" w:rsidR="001942AC" w:rsidRPr="00A07C74" w:rsidRDefault="001942AC" w:rsidP="001942AC">
      <w:r w:rsidRPr="004C09C4">
        <w:t xml:space="preserve">Det betyr at leverandøren skal kartlegge, forebygge, begrense og gjøre rede for hvordan de håndterer risiko for negativ påvirkning på kravene i punkt 1, og retter opp skade.  I tråd med </w:t>
      </w:r>
      <w:r w:rsidRPr="004C09C4">
        <w:lastRenderedPageBreak/>
        <w:t>metoden for aktsomhetsvurderinger skal interessenter, særlig berørte rettighetshavere, involveres. Alvorligst risiko, uavheng</w:t>
      </w:r>
      <w:r w:rsidRPr="00AC6CF4">
        <w:t xml:space="preserve">ig av hvor i leverandørkjeden risikoen er, prioriteres først. </w:t>
      </w:r>
    </w:p>
    <w:p w14:paraId="314F1579" w14:textId="639359DA" w:rsidR="001942AC" w:rsidRPr="004C09C4" w:rsidRDefault="001942AC" w:rsidP="00823B50">
      <w:pPr>
        <w:rPr>
          <w:iCs/>
        </w:rPr>
      </w:pPr>
      <w:r>
        <w:rPr>
          <w:rFonts w:ascii="Calibri" w:eastAsia="Times New Roman" w:hAnsi="Calibri" w:cs="Calibri"/>
          <w:lang w:eastAsia="nb-NO"/>
        </w:rPr>
        <w:t>Leverandørens aktsomhetsvurderinger skal omfatte:</w:t>
      </w:r>
    </w:p>
    <w:p w14:paraId="252C7A9A" w14:textId="77777777" w:rsidR="001942AC" w:rsidRPr="00A07C74" w:rsidRDefault="00823B50" w:rsidP="001942AC">
      <w:pPr>
        <w:pStyle w:val="Listeavsnitt"/>
        <w:numPr>
          <w:ilvl w:val="1"/>
          <w:numId w:val="41"/>
        </w:numPr>
        <w:spacing w:after="0" w:line="240" w:lineRule="auto"/>
        <w:textAlignment w:val="baseline"/>
        <w:rPr>
          <w:rFonts w:ascii="Calibri" w:eastAsia="Times New Roman" w:hAnsi="Calibri" w:cs="Calibri"/>
          <w:lang w:eastAsia="nb-NO"/>
        </w:rPr>
      </w:pPr>
      <w:r>
        <w:t>En eller flere offentlig tilgjengelige policys, vedtatt av styret. Innholdet skal som minimum omfatte en forpliktelse om å etterleve kravene i punkt 1, i egen virksomhet og i leverandørkjeden.  En eller flere ansatte på ledelsesnivå skal ha ansvar for etterlevelse</w:t>
      </w:r>
      <w:r w:rsidR="001942AC">
        <w:t xml:space="preserve"> </w:t>
      </w:r>
      <w:r w:rsidR="001942AC" w:rsidRPr="004001A4">
        <w:rPr>
          <w:rFonts w:ascii="Calibri" w:eastAsia="Times New Roman" w:hAnsi="Calibri" w:cs="Calibri"/>
          <w:color w:val="000000"/>
          <w:lang w:eastAsia="nb-NO"/>
        </w:rPr>
        <w:t xml:space="preserve">og rapportering </w:t>
      </w:r>
      <w:r w:rsidR="001942AC">
        <w:rPr>
          <w:rFonts w:ascii="Calibri" w:eastAsia="Times New Roman" w:hAnsi="Calibri" w:cs="Calibri"/>
          <w:color w:val="000000"/>
          <w:lang w:eastAsia="nb-NO"/>
        </w:rPr>
        <w:t xml:space="preserve">om arbeidet med aktsomhetsvurderinger </w:t>
      </w:r>
      <w:r w:rsidR="001942AC" w:rsidRPr="004001A4">
        <w:rPr>
          <w:rFonts w:ascii="Calibri" w:eastAsia="Times New Roman" w:hAnsi="Calibri" w:cs="Calibri"/>
          <w:color w:val="000000"/>
          <w:lang w:eastAsia="nb-NO"/>
        </w:rPr>
        <w:t>til styret.</w:t>
      </w:r>
      <w:r w:rsidR="001942AC">
        <w:rPr>
          <w:rFonts w:ascii="Calibri" w:eastAsia="Times New Roman" w:hAnsi="Calibri" w:cs="Calibri"/>
          <w:color w:val="000000"/>
          <w:lang w:eastAsia="nb-NO"/>
        </w:rPr>
        <w:t xml:space="preserve"> </w:t>
      </w:r>
      <w:r w:rsidR="001942AC" w:rsidRPr="004001A4">
        <w:rPr>
          <w:iCs/>
        </w:rPr>
        <w:t>Leverandøren skal ha rutiner for formidling og regelmessig oppfølgning av slik policy i egen virksomhet og i leverandørkjeden.</w:t>
      </w:r>
    </w:p>
    <w:p w14:paraId="541F84D6" w14:textId="77777777" w:rsidR="001942AC" w:rsidRPr="00793E59"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Pr>
          <w:iCs/>
        </w:rPr>
        <w:t>R</w:t>
      </w:r>
      <w:r w:rsidRPr="00590E67">
        <w:rPr>
          <w:iCs/>
        </w:rPr>
        <w:t xml:space="preserve">utiner for å utføre </w:t>
      </w:r>
      <w:r>
        <w:rPr>
          <w:iCs/>
        </w:rPr>
        <w:t xml:space="preserve">regelmessige </w:t>
      </w:r>
      <w:r w:rsidRPr="00590E67">
        <w:rPr>
          <w:iCs/>
        </w:rPr>
        <w:t>risikoanalyser i egen virksomhet</w:t>
      </w:r>
      <w:r>
        <w:rPr>
          <w:iCs/>
        </w:rPr>
        <w:t xml:space="preserve"> og i</w:t>
      </w:r>
      <w:r w:rsidRPr="00590E67">
        <w:rPr>
          <w:iCs/>
        </w:rPr>
        <w:t xml:space="preserve"> leverandørkjeden. Det innebærer å </w:t>
      </w:r>
      <w:r>
        <w:rPr>
          <w:iCs/>
        </w:rPr>
        <w:t>kartlegge og vurdere</w:t>
      </w:r>
      <w:r w:rsidRPr="00590E67">
        <w:rPr>
          <w:iCs/>
        </w:rPr>
        <w:t xml:space="preserve"> risiko for brudd på </w:t>
      </w:r>
      <w:r>
        <w:rPr>
          <w:iCs/>
        </w:rPr>
        <w:t>kravene</w:t>
      </w:r>
      <w:r w:rsidRPr="00590E67">
        <w:rPr>
          <w:iCs/>
        </w:rPr>
        <w:t xml:space="preserve"> i punkt 1. </w:t>
      </w:r>
    </w:p>
    <w:p w14:paraId="36894DB7" w14:textId="77777777" w:rsidR="001942AC" w:rsidRPr="00AA28D4"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Pr>
          <w:iCs/>
        </w:rPr>
        <w:t xml:space="preserve">Rutinen(e) skal </w:t>
      </w:r>
      <w:r w:rsidRPr="00AA28D4">
        <w:rPr>
          <w:iCs/>
        </w:rPr>
        <w:t xml:space="preserve">beskrive hvilke tiltak leverandøren vil iverksette for å stanse, forebygge eller redusere negativ påvirkning og skade på </w:t>
      </w:r>
      <w:r>
        <w:rPr>
          <w:iCs/>
        </w:rPr>
        <w:t>kravene i punkt 1</w:t>
      </w:r>
      <w:r w:rsidRPr="00AA28D4">
        <w:rPr>
          <w:iCs/>
        </w:rPr>
        <w:t xml:space="preserve">. </w:t>
      </w:r>
    </w:p>
    <w:p w14:paraId="46A52489" w14:textId="77777777" w:rsidR="001942AC" w:rsidRPr="00793E59"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Pr>
          <w:iCs/>
        </w:rPr>
        <w:t xml:space="preserve">Leverandøren skal redegjøre for rutiner for å overvåke at tiltakene blir gjennomført og </w:t>
      </w:r>
      <w:r w:rsidRPr="00793E59">
        <w:rPr>
          <w:iCs/>
        </w:rPr>
        <w:t xml:space="preserve">har effekt.  </w:t>
      </w:r>
    </w:p>
    <w:p w14:paraId="499E77CB" w14:textId="77777777" w:rsidR="001942AC" w:rsidRPr="00793E59"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sidRPr="00793E59">
        <w:rPr>
          <w:iCs/>
        </w:rPr>
        <w:t>Leverandøren skal kunne vise til offentlig tilgjengelig informasjon om arbeidet med aktsomhetsvurderinger i egen virksomhet og i leverandørkjeden. Dette omfatter hvordan risiko for brudd på kravene i punkt 1, og eventuell skade i egen virksomhet og i leverandørkjeden</w:t>
      </w:r>
      <w:r>
        <w:rPr>
          <w:iCs/>
        </w:rPr>
        <w:t>,</w:t>
      </w:r>
      <w:r w:rsidRPr="00793E59">
        <w:rPr>
          <w:iCs/>
        </w:rPr>
        <w:t xml:space="preserve"> er håndtert.  </w:t>
      </w:r>
    </w:p>
    <w:p w14:paraId="1E02631F" w14:textId="77777777" w:rsidR="001942AC" w:rsidRPr="00B8502A"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Pr>
          <w:iCs/>
        </w:rPr>
        <w:t xml:space="preserve">Dersom leverandøren har forårsaket, </w:t>
      </w:r>
      <w:r w:rsidRPr="00C06D3E">
        <w:rPr>
          <w:iCs/>
        </w:rPr>
        <w:t>eller</w:t>
      </w:r>
      <w:r>
        <w:rPr>
          <w:iCs/>
        </w:rPr>
        <w:t xml:space="preserve"> medvirket</w:t>
      </w:r>
      <w:r w:rsidRPr="00C06D3E">
        <w:rPr>
          <w:iCs/>
        </w:rPr>
        <w:t xml:space="preserve"> til skade</w:t>
      </w:r>
      <w:r>
        <w:rPr>
          <w:iCs/>
        </w:rPr>
        <w:t>, skal dette håndteres ved å sørge for eller samarbeide om å rette opp skaden og yte erstatning til skadelidende.</w:t>
      </w:r>
    </w:p>
    <w:p w14:paraId="35399E83" w14:textId="0F38C17A" w:rsidR="00823B50" w:rsidRDefault="00823B50" w:rsidP="00A07C74">
      <w:r>
        <w:t xml:space="preserve"> </w:t>
      </w:r>
    </w:p>
    <w:p w14:paraId="7E82CCAC" w14:textId="77777777" w:rsidR="00823B50" w:rsidRDefault="00823B50" w:rsidP="00823B50">
      <w:pPr>
        <w:pStyle w:val="Overskrift1"/>
      </w:pPr>
      <w:r>
        <w:t xml:space="preserve">Kontraktsoppfølging </w:t>
      </w:r>
    </w:p>
    <w:p w14:paraId="36FEF1C0" w14:textId="77777777" w:rsidR="001942AC" w:rsidRDefault="00823B50" w:rsidP="00823B50">
      <w:r>
        <w:t xml:space="preserve">Leverandøren skal sikre at kravene i punkt 1 og 2 etterleves i egen virksomhet og i leverandørkjeden. </w:t>
      </w:r>
    </w:p>
    <w:p w14:paraId="6D8D3042" w14:textId="77777777" w:rsidR="001942AC" w:rsidRPr="00793E59" w:rsidRDefault="001942AC" w:rsidP="001942AC">
      <w:pPr>
        <w:rPr>
          <w:iCs/>
        </w:rPr>
      </w:pPr>
      <w:r>
        <w:t xml:space="preserve">Dersom leverandøren blir klar over forhold i strid med punkt 1 og 2 i leverandørkjeden, skal leverandøren rapportere dette til oppdragsgiver uten ugrunnet opphold. </w:t>
      </w:r>
    </w:p>
    <w:p w14:paraId="7AF2CE74" w14:textId="0000BA7D" w:rsidR="00823B50" w:rsidRDefault="00823B50" w:rsidP="00823B50">
      <w:r>
        <w:t xml:space="preserve">Oppdragsgiver kan kreve at etterlevelse dokumenteres ved ett eller flere av følgende tiltak: </w:t>
      </w:r>
    </w:p>
    <w:p w14:paraId="4FE72E9A" w14:textId="0D9C9EEC" w:rsidR="00823B50" w:rsidRDefault="00180EAA" w:rsidP="009A43A6">
      <w:pPr>
        <w:pStyle w:val="Listeavsnitt"/>
        <w:numPr>
          <w:ilvl w:val="1"/>
          <w:numId w:val="29"/>
        </w:numPr>
      </w:pPr>
      <w:r>
        <w:t>Fremvise</w:t>
      </w:r>
      <w:r w:rsidR="00823B50">
        <w:t xml:space="preserve"> vedtatte policys og rutiner, jf. punkt 2.</w:t>
      </w:r>
    </w:p>
    <w:p w14:paraId="449D788A" w14:textId="77777777" w:rsidR="00180EAA" w:rsidRPr="002D655C" w:rsidRDefault="00180EAA" w:rsidP="00180EAA">
      <w:pPr>
        <w:pStyle w:val="Listeavsnitt"/>
        <w:numPr>
          <w:ilvl w:val="1"/>
          <w:numId w:val="29"/>
        </w:numPr>
        <w:rPr>
          <w:iCs/>
        </w:rPr>
      </w:pPr>
      <w:r>
        <w:rPr>
          <w:rFonts w:ascii="Calibri" w:eastAsia="Times New Roman" w:hAnsi="Calibri" w:cs="Calibri"/>
          <w:color w:val="000000"/>
          <w:lang w:eastAsia="nb-NO"/>
        </w:rPr>
        <w:t>Fremvise</w:t>
      </w:r>
      <w:r w:rsidRPr="002D655C">
        <w:rPr>
          <w:rFonts w:ascii="Calibri" w:eastAsia="Times New Roman" w:hAnsi="Calibri" w:cs="Calibri"/>
          <w:color w:val="000000"/>
          <w:lang w:eastAsia="nb-NO"/>
        </w:rPr>
        <w:t xml:space="preserve"> en oversikt over produksjonsenheter i leverandørkjeden</w:t>
      </w:r>
      <w:r>
        <w:rPr>
          <w:rFonts w:ascii="Calibri" w:eastAsia="Times New Roman" w:hAnsi="Calibri" w:cs="Calibri"/>
          <w:color w:val="000000"/>
          <w:lang w:eastAsia="nb-NO"/>
        </w:rPr>
        <w:t>, inkludert kontaktopplysninger,</w:t>
      </w:r>
      <w:r w:rsidRPr="002D655C">
        <w:rPr>
          <w:rFonts w:ascii="Calibri" w:eastAsia="Times New Roman" w:hAnsi="Calibri" w:cs="Calibri"/>
          <w:color w:val="000000"/>
          <w:lang w:eastAsia="nb-NO"/>
        </w:rPr>
        <w:t xml:space="preserve"> for utvalgte produkter</w:t>
      </w:r>
      <w:r w:rsidRPr="002D655C">
        <w:rPr>
          <w:rFonts w:ascii="Calibri" w:eastAsia="Times New Roman" w:hAnsi="Calibri" w:cs="Calibri"/>
          <w:lang w:eastAsia="nb-NO"/>
        </w:rPr>
        <w:t>, og/eller komponenter og/eller råvarer</w:t>
      </w:r>
      <w:r>
        <w:rPr>
          <w:rFonts w:ascii="Calibri" w:eastAsia="Times New Roman" w:hAnsi="Calibri" w:cs="Calibri"/>
          <w:lang w:eastAsia="nb-NO"/>
        </w:rPr>
        <w:t xml:space="preserve">. Oppdragsgiver angir hvilke produkter og hvilken del av leverandørkjeden.  </w:t>
      </w:r>
    </w:p>
    <w:p w14:paraId="08E1DC0E" w14:textId="77777777" w:rsidR="00823B50" w:rsidRDefault="00823B50" w:rsidP="009A43A6">
      <w:pPr>
        <w:pStyle w:val="Listeavsnitt"/>
        <w:numPr>
          <w:ilvl w:val="1"/>
          <w:numId w:val="29"/>
        </w:numPr>
      </w:pPr>
      <w:r>
        <w:t>Besvare egenrapportering senest seks uker etter utsendelse fra Oppdragsgiver, med mindre Oppdragsgiver har satt en annen frist.</w:t>
      </w:r>
    </w:p>
    <w:p w14:paraId="035F9265" w14:textId="689A4EE0" w:rsidR="00180EAA" w:rsidRDefault="00180EAA" w:rsidP="009A43A6">
      <w:pPr>
        <w:pStyle w:val="Listeavsnitt"/>
        <w:numPr>
          <w:ilvl w:val="1"/>
          <w:numId w:val="29"/>
        </w:numPr>
      </w:pPr>
      <w:r>
        <w:rPr>
          <w:iCs/>
        </w:rPr>
        <w:t>Fremvise</w:t>
      </w:r>
      <w:r w:rsidRPr="002D655C">
        <w:rPr>
          <w:iCs/>
        </w:rPr>
        <w:t xml:space="preserve"> gjennomført risikoanalyse, og rapportere om oppfølging og håndtering av funnene</w:t>
      </w:r>
      <w:r w:rsidDel="00180EAA">
        <w:t xml:space="preserve"> </w:t>
      </w:r>
    </w:p>
    <w:p w14:paraId="0063A8C7" w14:textId="77777777" w:rsidR="00823B50" w:rsidRDefault="00823B50" w:rsidP="009A43A6">
      <w:pPr>
        <w:pStyle w:val="Listeavsnitt"/>
        <w:numPr>
          <w:ilvl w:val="1"/>
          <w:numId w:val="29"/>
        </w:numPr>
      </w:pPr>
      <w:r>
        <w:t>Delta i oppfølgingssamtale(r) med Oppdragsgiver, og eventuelt andre relevante interessenter.</w:t>
      </w:r>
    </w:p>
    <w:p w14:paraId="0A4E9C02" w14:textId="02D0C989" w:rsidR="00823B50" w:rsidRDefault="00823B50" w:rsidP="009A43A6">
      <w:pPr>
        <w:pStyle w:val="Listeavsnitt"/>
        <w:numPr>
          <w:ilvl w:val="1"/>
          <w:numId w:val="29"/>
        </w:numPr>
      </w:pPr>
      <w:r>
        <w:t>Fremvise rapport(er) relevant for kravene i punkt 1</w:t>
      </w:r>
      <w:r w:rsidR="00180EAA">
        <w:t xml:space="preserve"> og 2</w:t>
      </w:r>
      <w:r>
        <w:t xml:space="preserve">. </w:t>
      </w:r>
    </w:p>
    <w:p w14:paraId="04C3B7AC" w14:textId="0E638FDB" w:rsidR="00823B50" w:rsidRDefault="00823B50" w:rsidP="009A43A6">
      <w:pPr>
        <w:pStyle w:val="Listeavsnitt"/>
        <w:numPr>
          <w:ilvl w:val="1"/>
          <w:numId w:val="29"/>
        </w:numPr>
      </w:pPr>
      <w:r>
        <w:t xml:space="preserve">Kontroll og revisjon av kravene i punkt 1 og 2 </w:t>
      </w:r>
      <w:r w:rsidR="00180EAA">
        <w:t xml:space="preserve">hos </w:t>
      </w:r>
      <w:r>
        <w:t>Leverandøren</w:t>
      </w:r>
      <w:r w:rsidR="00180EAA">
        <w:t>.</w:t>
      </w:r>
    </w:p>
    <w:p w14:paraId="6369F327" w14:textId="0BE83A78" w:rsidR="00823B50" w:rsidRDefault="00823B50" w:rsidP="009A43A6">
      <w:pPr>
        <w:pStyle w:val="Listeavsnitt"/>
        <w:numPr>
          <w:ilvl w:val="1"/>
          <w:numId w:val="29"/>
        </w:numPr>
      </w:pPr>
      <w:r>
        <w:t>Kontroll og revisjon av kravene i punkt 1 og 2 i leverandørkjeden.</w:t>
      </w:r>
    </w:p>
    <w:p w14:paraId="6E94FA33" w14:textId="77777777" w:rsidR="00180EAA" w:rsidRPr="00AC6CF4" w:rsidRDefault="00180EAA" w:rsidP="00253846">
      <w:pPr>
        <w:rPr>
          <w:iCs/>
        </w:rPr>
      </w:pPr>
      <w:r w:rsidRPr="004C09C4">
        <w:rPr>
          <w:iCs/>
        </w:rPr>
        <w:t xml:space="preserve">Kontraktsoppfølgingen kan gjennomføres av oppdragsgiver eller av offentlig enhet som oppdragsgiver samarbeider med. </w:t>
      </w:r>
    </w:p>
    <w:p w14:paraId="6D0DFDED" w14:textId="644F64E5" w:rsidR="00180EAA" w:rsidRDefault="00180EAA" w:rsidP="00253846">
      <w:r w:rsidRPr="00A07C74">
        <w:rPr>
          <w:iCs/>
        </w:rPr>
        <w:lastRenderedPageBreak/>
        <w:t>Oppdragsgiver forbeholder seg retten til å dele revisjonsrapporter og annen kontraktsoppfølgingsinformasjon med andre offentlige virkso</w:t>
      </w:r>
      <w:r w:rsidRPr="00253846">
        <w:rPr>
          <w:iCs/>
        </w:rPr>
        <w:t>mheter. De offentlige virksomhetene omfattes av taushetsplikten.</w:t>
      </w:r>
    </w:p>
    <w:p w14:paraId="4B06C56B" w14:textId="77777777" w:rsidR="00823B50" w:rsidRDefault="00823B50" w:rsidP="00823B50">
      <w:pPr>
        <w:pStyle w:val="Overskrift1"/>
      </w:pPr>
      <w:r>
        <w:t xml:space="preserve">Sanksjoner </w:t>
      </w:r>
    </w:p>
    <w:p w14:paraId="5DD0817F" w14:textId="77777777" w:rsidR="0073020E" w:rsidRDefault="00823B50" w:rsidP="00823B50">
      <w:r>
        <w:t xml:space="preserve">Ved brudd på punkt 1-3, eller om det foreligger mangler i dokumentasjonen, gjelder sanksjonsbestemmelser i hovedkontrakten med følgende tillegg og presiseringer. </w:t>
      </w:r>
    </w:p>
    <w:p w14:paraId="2304C6FF" w14:textId="77777777" w:rsidR="00823B50" w:rsidRDefault="00823B50" w:rsidP="00823B50">
      <w:r>
        <w:t xml:space="preserve">Oppdragsgiver kan: </w:t>
      </w:r>
    </w:p>
    <w:p w14:paraId="0952E0A8" w14:textId="2D1C4F65" w:rsidR="00823B50" w:rsidRDefault="00823B50" w:rsidP="003B1945">
      <w:pPr>
        <w:pStyle w:val="Listeavsnitt"/>
        <w:numPr>
          <w:ilvl w:val="1"/>
          <w:numId w:val="36"/>
        </w:numPr>
      </w:pPr>
      <w:r>
        <w:t xml:space="preserve">Kreve retting: Leverandøren skal fremlegge en tiltaksplan for når og hvordan bruddene skal rettes. Tiltakene skal være rimelige sett i forhold til bruddenes art og omfang.  Tiltaksplanen skal fremlegges innen fire uker, med mindre Oppdragsgiver har satt en annen frist.  Oppdragsgiver skal godkjenne tiltaksplanen, og dokumentasjon av rettelser. </w:t>
      </w:r>
    </w:p>
    <w:p w14:paraId="000046F9" w14:textId="77777777" w:rsidR="00180EAA" w:rsidRPr="00AB56A4" w:rsidRDefault="00180EAA" w:rsidP="00180EAA">
      <w:pPr>
        <w:pStyle w:val="Listeavsnitt"/>
        <w:numPr>
          <w:ilvl w:val="1"/>
          <w:numId w:val="36"/>
        </w:numPr>
        <w:spacing w:after="0" w:line="240" w:lineRule="auto"/>
        <w:textAlignment w:val="baseline"/>
        <w:rPr>
          <w:rFonts w:ascii="Segoe UI" w:eastAsia="Times New Roman" w:hAnsi="Segoe UI" w:cs="Segoe UI"/>
          <w:lang w:eastAsia="nb-NO"/>
        </w:rPr>
      </w:pPr>
      <w:r w:rsidRPr="00FF56AC">
        <w:rPr>
          <w:rFonts w:eastAsia="Times New Roman"/>
          <w:iCs/>
        </w:rPr>
        <w:t xml:space="preserve">Iverksette midlertidig stans i hele eller deler av leveransen </w:t>
      </w:r>
      <w:r>
        <w:t>når l</w:t>
      </w:r>
      <w:r w:rsidRPr="0001741E">
        <w:t xml:space="preserve">everandøren ikke oppfyller kravet om å </w:t>
      </w:r>
      <w:r>
        <w:t>fremlegge</w:t>
      </w:r>
      <w:r w:rsidRPr="0001741E">
        <w:t xml:space="preserve"> tiltaksplan</w:t>
      </w:r>
      <w:r>
        <w:t xml:space="preserve"> eller t</w:t>
      </w:r>
      <w:r w:rsidRPr="0001741E">
        <w:t>iltaksplanen ikke</w:t>
      </w:r>
      <w:r>
        <w:t xml:space="preserve"> blir</w:t>
      </w:r>
      <w:r w:rsidRPr="0001741E">
        <w:t xml:space="preserve"> overhold</w:t>
      </w:r>
      <w:r>
        <w:t xml:space="preserve">t. </w:t>
      </w:r>
    </w:p>
    <w:p w14:paraId="54031F30" w14:textId="34FC8B0A" w:rsidR="00823B50" w:rsidRDefault="00180EAA" w:rsidP="00873861">
      <w:pPr>
        <w:ind w:left="1152"/>
      </w:pPr>
      <w:r>
        <w:t>Under stans vil ikke erstatningskjøp som foretas hos annen leverandør anses som kontraktsbrudd</w:t>
      </w:r>
      <w:r w:rsidR="00823B50">
        <w:t xml:space="preserve">. </w:t>
      </w:r>
    </w:p>
    <w:p w14:paraId="16D044B0" w14:textId="238FBD19" w:rsidR="00823B50" w:rsidRDefault="00180EAA" w:rsidP="003B1945">
      <w:pPr>
        <w:pStyle w:val="Listeavsnitt"/>
        <w:numPr>
          <w:ilvl w:val="1"/>
          <w:numId w:val="36"/>
        </w:numPr>
      </w:pPr>
      <w:r w:rsidRPr="00EB5F57">
        <w:t xml:space="preserve">Kreve at </w:t>
      </w:r>
      <w:r>
        <w:t>l</w:t>
      </w:r>
      <w:r w:rsidRPr="00EB5F57">
        <w:t>everandør</w:t>
      </w:r>
      <w:r>
        <w:t>en</w:t>
      </w:r>
      <w:r w:rsidRPr="00EB5F57">
        <w:t xml:space="preserve"> </w:t>
      </w:r>
      <w:r>
        <w:t xml:space="preserve">bytter </w:t>
      </w:r>
      <w:r w:rsidRPr="00EB5F57">
        <w:t>underleverandør</w:t>
      </w:r>
      <w:r>
        <w:t xml:space="preserve"> ved vesentlige kontraktsbrudd, gjentakende alvorlige brudd eller hvis tiltaksplanen ikke blir overholdt</w:t>
      </w:r>
      <w:r w:rsidRPr="00EB5F57">
        <w:t xml:space="preserve">. Dette skal skje uten kostnad for </w:t>
      </w:r>
      <w:r>
        <w:t>o</w:t>
      </w:r>
      <w:r w:rsidRPr="00EB5F57">
        <w:t>ppdragsgiver</w:t>
      </w:r>
      <w:r w:rsidR="00823B50">
        <w:t>.</w:t>
      </w:r>
    </w:p>
    <w:p w14:paraId="14BCA085" w14:textId="77777777" w:rsidR="00180EAA" w:rsidRPr="00915841" w:rsidRDefault="00180EAA" w:rsidP="00180EAA">
      <w:pPr>
        <w:pStyle w:val="Listeavsnitt"/>
        <w:numPr>
          <w:ilvl w:val="1"/>
          <w:numId w:val="36"/>
        </w:numPr>
        <w:spacing w:after="0" w:line="240" w:lineRule="auto"/>
        <w:textAlignment w:val="baseline"/>
        <w:rPr>
          <w:rFonts w:ascii="Segoe UI" w:eastAsia="Times New Roman" w:hAnsi="Segoe UI" w:cs="Segoe UI"/>
          <w:lang w:eastAsia="nb-NO"/>
        </w:rPr>
      </w:pPr>
      <w:r w:rsidRPr="00FF56AC">
        <w:rPr>
          <w:rFonts w:eastAsia="Times New Roman"/>
          <w:iCs/>
        </w:rPr>
        <w:t>Heve kontrakt</w:t>
      </w:r>
      <w:r>
        <w:rPr>
          <w:rFonts w:eastAsia="Times New Roman"/>
          <w:iCs/>
        </w:rPr>
        <w:t>en:</w:t>
      </w:r>
      <w:r w:rsidRPr="00FF56AC">
        <w:rPr>
          <w:rFonts w:eastAsia="Times New Roman"/>
          <w:iCs/>
        </w:rPr>
        <w:t xml:space="preserve"> </w:t>
      </w:r>
      <w:r>
        <w:rPr>
          <w:rFonts w:eastAsia="Times New Roman"/>
          <w:iCs/>
        </w:rPr>
        <w:t>V</w:t>
      </w:r>
      <w:r w:rsidRPr="00FF56AC">
        <w:rPr>
          <w:rFonts w:eastAsia="Times New Roman"/>
          <w:iCs/>
        </w:rPr>
        <w:t>ed vesentlige</w:t>
      </w:r>
      <w:r>
        <w:rPr>
          <w:rFonts w:eastAsia="Times New Roman"/>
          <w:iCs/>
        </w:rPr>
        <w:t xml:space="preserve"> kontraktsbrudd, </w:t>
      </w:r>
      <w:r w:rsidRPr="00FF56AC">
        <w:rPr>
          <w:rFonts w:eastAsia="Times New Roman"/>
          <w:iCs/>
        </w:rPr>
        <w:t xml:space="preserve">gjentagende </w:t>
      </w:r>
      <w:r>
        <w:rPr>
          <w:rFonts w:eastAsia="Times New Roman"/>
          <w:iCs/>
        </w:rPr>
        <w:t xml:space="preserve">alvorlige </w:t>
      </w:r>
      <w:r w:rsidRPr="00FF56AC">
        <w:rPr>
          <w:rFonts w:eastAsia="Times New Roman"/>
          <w:iCs/>
        </w:rPr>
        <w:t>brudd</w:t>
      </w:r>
      <w:r>
        <w:rPr>
          <w:rFonts w:eastAsia="Times New Roman"/>
          <w:iCs/>
        </w:rPr>
        <w:t xml:space="preserve"> eller hvis tiltaksplanen ikke blir overholdt</w:t>
      </w:r>
    </w:p>
    <w:p w14:paraId="2FF07B9E" w14:textId="77777777" w:rsidR="00823B50" w:rsidRDefault="00823B50" w:rsidP="00823B50"/>
    <w:p w14:paraId="17289A61" w14:textId="02A399E5" w:rsidR="00823B50" w:rsidRDefault="00823B50" w:rsidP="00823B50"/>
    <w:p w14:paraId="7CB9CC45" w14:textId="77777777" w:rsidR="00FF52D8" w:rsidRPr="00200A6B" w:rsidRDefault="00FF52D8" w:rsidP="00FF52D8"/>
    <w:sectPr w:rsidR="00FF52D8" w:rsidRPr="00200A6B" w:rsidSect="000C064A">
      <w:headerReference w:type="default" r:id="rId12"/>
      <w:footerReference w:type="default" r:id="rId13"/>
      <w:headerReference w:type="first" r:id="rId14"/>
      <w:footerReference w:type="first" r:id="rId15"/>
      <w:pgSz w:w="11906" w:h="16838"/>
      <w:pgMar w:top="1985" w:right="1440" w:bottom="1440" w:left="144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4CF5" w14:textId="77777777" w:rsidR="00CB032A" w:rsidRDefault="00CB032A" w:rsidP="002D7059">
      <w:pPr>
        <w:spacing w:after="0" w:line="240" w:lineRule="auto"/>
      </w:pPr>
      <w:r>
        <w:separator/>
      </w:r>
    </w:p>
  </w:endnote>
  <w:endnote w:type="continuationSeparator" w:id="0">
    <w:p w14:paraId="700DCEF8" w14:textId="77777777" w:rsidR="00CB032A" w:rsidRDefault="00CB032A" w:rsidP="002D7059">
      <w:pPr>
        <w:spacing w:after="0" w:line="240" w:lineRule="auto"/>
      </w:pPr>
      <w:r>
        <w:continuationSeparator/>
      </w:r>
    </w:p>
  </w:endnote>
  <w:endnote w:type="continuationNotice" w:id="1">
    <w:p w14:paraId="47C00BE1" w14:textId="77777777" w:rsidR="00CB032A" w:rsidRDefault="00CB03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5"/>
    </w:tblGrid>
    <w:tr w:rsidR="008319F5" w:rsidRPr="00214207" w14:paraId="688CB921" w14:textId="77777777" w:rsidTr="00E524BF">
      <w:tc>
        <w:tcPr>
          <w:tcW w:w="4962" w:type="dxa"/>
        </w:tcPr>
        <w:p w14:paraId="42800F5E"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535" w:type="dxa"/>
        </w:tcPr>
        <w:p w14:paraId="45DA7379" w14:textId="77777777" w:rsidR="008319F5" w:rsidRPr="00FF52D8" w:rsidRDefault="00E105BD"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73020E" w:rsidRPr="0073020E" w14:paraId="4DCBFF6D" w14:textId="77777777" w:rsidTr="00E524BF">
      <w:tc>
        <w:tcPr>
          <w:tcW w:w="4962" w:type="dxa"/>
        </w:tcPr>
        <w:p w14:paraId="79A70E76" w14:textId="27DC0D11" w:rsidR="0073020E" w:rsidRPr="0073020E" w:rsidRDefault="004C09C4" w:rsidP="008319F5">
          <w:pPr>
            <w:pStyle w:val="Bunntekst"/>
            <w:rPr>
              <w:color w:val="003283" w:themeColor="text2"/>
              <w:lang w:val="nb-NO"/>
            </w:rPr>
          </w:pPr>
          <w:r>
            <w:rPr>
              <w:color w:val="003283" w:themeColor="text2"/>
              <w:lang w:val="nb-NO"/>
            </w:rPr>
            <w:t>Vedlegg X</w:t>
          </w:r>
          <w:r w:rsidR="00E524BF">
            <w:rPr>
              <w:color w:val="003283" w:themeColor="text2"/>
              <w:lang w:val="nb-NO"/>
            </w:rPr>
            <w:t xml:space="preserve"> – Bilag X </w:t>
          </w:r>
          <w:r w:rsidR="0073020E">
            <w:rPr>
              <w:color w:val="003283" w:themeColor="text2"/>
              <w:lang w:val="nb-NO"/>
            </w:rPr>
            <w:t xml:space="preserve">Kontraktskrav til etisk handel, </w:t>
          </w:r>
          <w:r w:rsidR="00E524BF">
            <w:rPr>
              <w:color w:val="003283" w:themeColor="text2"/>
              <w:lang w:val="nb-NO"/>
            </w:rPr>
            <w:t>versjon 09-</w:t>
          </w:r>
          <w:r w:rsidR="0073020E">
            <w:rPr>
              <w:color w:val="003283" w:themeColor="text2"/>
              <w:lang w:val="nb-NO"/>
            </w:rPr>
            <w:t>202</w:t>
          </w:r>
          <w:r w:rsidR="00E524BF">
            <w:rPr>
              <w:color w:val="003283" w:themeColor="text2"/>
              <w:lang w:val="nb-NO"/>
            </w:rPr>
            <w:t>2</w:t>
          </w:r>
        </w:p>
      </w:tc>
      <w:tc>
        <w:tcPr>
          <w:tcW w:w="4535" w:type="dxa"/>
        </w:tcPr>
        <w:p w14:paraId="18E2BF27" w14:textId="77777777" w:rsidR="0073020E" w:rsidRPr="0073020E" w:rsidRDefault="0073020E" w:rsidP="008319F5">
          <w:pPr>
            <w:jc w:val="right"/>
            <w:rPr>
              <w:i/>
              <w:iCs/>
              <w:color w:val="003283" w:themeColor="text2"/>
              <w:sz w:val="18"/>
              <w:szCs w:val="18"/>
            </w:rPr>
          </w:pPr>
        </w:p>
      </w:tc>
    </w:tr>
  </w:tbl>
  <w:p w14:paraId="2612E4A5" w14:textId="77777777" w:rsidR="00214207" w:rsidRPr="0073020E"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05CD649C" w14:textId="77777777" w:rsidTr="00A92CD5">
      <w:tc>
        <w:tcPr>
          <w:tcW w:w="4536" w:type="dxa"/>
        </w:tcPr>
        <w:p w14:paraId="19099AE1"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208768D5" w14:textId="77777777" w:rsidR="008319F5" w:rsidRPr="00FF52D8" w:rsidRDefault="00E105BD"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73020E" w:rsidRPr="0073020E" w14:paraId="131AEFCC" w14:textId="77777777" w:rsidTr="00A92CD5">
      <w:tc>
        <w:tcPr>
          <w:tcW w:w="4536" w:type="dxa"/>
        </w:tcPr>
        <w:p w14:paraId="3399751C" w14:textId="77777777" w:rsidR="0073020E" w:rsidRPr="0073020E" w:rsidRDefault="0073020E" w:rsidP="008319F5">
          <w:pPr>
            <w:pStyle w:val="Bunntekst"/>
            <w:rPr>
              <w:color w:val="003283" w:themeColor="text2"/>
              <w:lang w:val="nb-NO"/>
            </w:rPr>
          </w:pPr>
          <w:r>
            <w:rPr>
              <w:color w:val="003283" w:themeColor="text2"/>
              <w:lang w:val="nb-NO"/>
            </w:rPr>
            <w:t>Kontraktskrav til etisk handel, desember 2020</w:t>
          </w:r>
        </w:p>
      </w:tc>
      <w:tc>
        <w:tcPr>
          <w:tcW w:w="4961" w:type="dxa"/>
        </w:tcPr>
        <w:p w14:paraId="212E951B" w14:textId="77777777" w:rsidR="0073020E" w:rsidRPr="0073020E" w:rsidRDefault="0073020E" w:rsidP="008319F5">
          <w:pPr>
            <w:jc w:val="right"/>
            <w:rPr>
              <w:i/>
              <w:iCs/>
              <w:color w:val="003283" w:themeColor="text2"/>
              <w:sz w:val="18"/>
              <w:szCs w:val="18"/>
            </w:rPr>
          </w:pPr>
        </w:p>
      </w:tc>
    </w:tr>
  </w:tbl>
  <w:p w14:paraId="0B6E276D" w14:textId="77777777" w:rsidR="005C7D79" w:rsidRPr="0073020E"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5E12" w14:textId="77777777" w:rsidR="00CB032A" w:rsidRDefault="00CB032A" w:rsidP="002D7059">
      <w:pPr>
        <w:spacing w:after="0" w:line="240" w:lineRule="auto"/>
      </w:pPr>
      <w:r>
        <w:separator/>
      </w:r>
    </w:p>
  </w:footnote>
  <w:footnote w:type="continuationSeparator" w:id="0">
    <w:p w14:paraId="3309CFFA" w14:textId="77777777" w:rsidR="00CB032A" w:rsidRDefault="00CB032A" w:rsidP="002D7059">
      <w:pPr>
        <w:spacing w:after="0" w:line="240" w:lineRule="auto"/>
      </w:pPr>
      <w:r>
        <w:continuationSeparator/>
      </w:r>
    </w:p>
  </w:footnote>
  <w:footnote w:type="continuationNotice" w:id="1">
    <w:p w14:paraId="34722BF9" w14:textId="77777777" w:rsidR="00CB032A" w:rsidRDefault="00CB032A">
      <w:pPr>
        <w:spacing w:after="0" w:line="240" w:lineRule="auto"/>
      </w:pPr>
    </w:p>
  </w:footnote>
  <w:footnote w:id="2">
    <w:p w14:paraId="55511C15" w14:textId="715BB362" w:rsidR="00AB5C08" w:rsidRDefault="00AB5C08" w:rsidP="00AB5C08">
      <w:pPr>
        <w:pStyle w:val="Fotnotetekst"/>
      </w:pPr>
      <w:r>
        <w:rPr>
          <w:rStyle w:val="Fotnotereferanse"/>
        </w:rPr>
        <w:footnoteRef/>
      </w:r>
      <w:r>
        <w:t xml:space="preserve"> </w:t>
      </w:r>
      <w:r w:rsidRPr="00CB17C2">
        <w:rPr>
          <w:rFonts w:cstheme="minorHAnsi"/>
          <w:sz w:val="18"/>
          <w:szCs w:val="18"/>
        </w:rPr>
        <w:t>Her menes alle produksjonsland i leverandørkjeden der utvinning og produksjon av råvare og/eller komponent/halvfabrikata og/eller ferdigvare, inklusive distribusjon og transport, skjer.</w:t>
      </w:r>
    </w:p>
    <w:p w14:paraId="75D39CE4" w14:textId="23AF45FF" w:rsidR="00AB5C08" w:rsidRDefault="00AB5C08">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F2D4" w14:textId="22A1CDED" w:rsidR="002D7059" w:rsidRDefault="00DA11A8">
    <w:pPr>
      <w:pStyle w:val="Topptekst"/>
    </w:pPr>
    <w:r>
      <w:rPr>
        <w:noProof/>
      </w:rPr>
      <w:drawing>
        <wp:anchor distT="0" distB="0" distL="114300" distR="114300" simplePos="0" relativeHeight="251658241" behindDoc="1" locked="0" layoutInCell="1" allowOverlap="1" wp14:anchorId="6B30EEAD" wp14:editId="4F414E3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FA3D" w14:textId="7B8DFE6E" w:rsidR="00357D49" w:rsidRDefault="00D427B1" w:rsidP="00B32B42">
    <w:pPr>
      <w:pStyle w:val="Topptekst"/>
      <w:jc w:val="right"/>
    </w:pPr>
    <w:r>
      <w:rPr>
        <w:noProof/>
      </w:rPr>
      <w:drawing>
        <wp:anchor distT="0" distB="0" distL="114300" distR="114300" simplePos="0" relativeHeight="251658240" behindDoc="1" locked="0" layoutInCell="1" allowOverlap="1" wp14:anchorId="17629F6D" wp14:editId="3D8ACD59">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C22EC6"/>
    <w:multiLevelType w:val="multilevel"/>
    <w:tmpl w:val="3C9C9108"/>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1"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026C46"/>
    <w:multiLevelType w:val="multilevel"/>
    <w:tmpl w:val="80B62F7C"/>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0C345FB7"/>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0F0013B2"/>
    <w:multiLevelType w:val="multilevel"/>
    <w:tmpl w:val="15583BDC"/>
    <w:lvl w:ilvl="0">
      <w:start w:val="4"/>
      <w:numFmt w:val="decimal"/>
      <w:lvlText w:val="%1."/>
      <w:lvlJc w:val="left"/>
      <w:pPr>
        <w:ind w:left="720" w:hanging="360"/>
      </w:pPr>
      <w:rPr>
        <w:rFonts w:hint="default"/>
      </w:rPr>
    </w:lvl>
    <w:lvl w:ilvl="1">
      <w:start w:val="1"/>
      <w:numFmt w:val="decimal"/>
      <w:lvlText w:val="%1.%2."/>
      <w:lvlJc w:val="left"/>
      <w:pPr>
        <w:ind w:left="1152" w:hanging="432"/>
      </w:pPr>
      <w:rPr>
        <w:rFonts w:asciiTheme="minorHAnsi" w:hAnsiTheme="minorHAnsi" w:cstheme="minorHAnsi" w:hint="default"/>
        <w:sz w:val="22"/>
        <w:szCs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89425E7"/>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5377804"/>
    <w:multiLevelType w:val="multilevel"/>
    <w:tmpl w:val="118459DA"/>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8" w15:restartNumberingAfterBreak="0">
    <w:nsid w:val="257D748F"/>
    <w:multiLevelType w:val="multilevel"/>
    <w:tmpl w:val="CF964FF2"/>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262B680E"/>
    <w:multiLevelType w:val="multilevel"/>
    <w:tmpl w:val="B39CF344"/>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3A35493F"/>
    <w:multiLevelType w:val="multilevel"/>
    <w:tmpl w:val="77928516"/>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3AF46DA5"/>
    <w:multiLevelType w:val="multilevel"/>
    <w:tmpl w:val="0A0CE902"/>
    <w:lvl w:ilvl="0">
      <w:start w:val="3"/>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40A84059"/>
    <w:multiLevelType w:val="multilevel"/>
    <w:tmpl w:val="0A0CE902"/>
    <w:lvl w:ilvl="0">
      <w:start w:val="3"/>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41522A55"/>
    <w:multiLevelType w:val="multilevel"/>
    <w:tmpl w:val="AEF6AD5E"/>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4246AA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2E615B"/>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47B36D89"/>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4AC11760"/>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508D097F"/>
    <w:multiLevelType w:val="hybridMultilevel"/>
    <w:tmpl w:val="EA4AB8DE"/>
    <w:lvl w:ilvl="0" w:tplc="01B4D98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0FF0721"/>
    <w:multiLevelType w:val="multilevel"/>
    <w:tmpl w:val="CF964FF2"/>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5224799C"/>
    <w:multiLevelType w:val="multilevel"/>
    <w:tmpl w:val="0414001F"/>
    <w:numStyleLink w:val="111111"/>
  </w:abstractNum>
  <w:abstractNum w:abstractNumId="32" w15:restartNumberingAfterBreak="0">
    <w:nsid w:val="52F42441"/>
    <w:multiLevelType w:val="hybridMultilevel"/>
    <w:tmpl w:val="2FC03964"/>
    <w:lvl w:ilvl="0" w:tplc="01B4D98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8307885"/>
    <w:multiLevelType w:val="multilevel"/>
    <w:tmpl w:val="F34EB3D6"/>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5B5C0FF8"/>
    <w:multiLevelType w:val="multilevel"/>
    <w:tmpl w:val="70980B2E"/>
    <w:lvl w:ilvl="0">
      <w:start w:val="4"/>
      <w:numFmt w:val="decimal"/>
      <w:lvlText w:val="%1"/>
      <w:lvlJc w:val="left"/>
      <w:pPr>
        <w:ind w:left="360" w:hanging="360"/>
      </w:pPr>
      <w:rPr>
        <w:rFonts w:ascii="Calibri" w:hAnsi="Calibri" w:cs="Calibri" w:hint="default"/>
        <w:color w:val="000000"/>
      </w:rPr>
    </w:lvl>
    <w:lvl w:ilvl="1">
      <w:start w:val="1"/>
      <w:numFmt w:val="decimal"/>
      <w:lvlText w:val="%1.%2"/>
      <w:lvlJc w:val="left"/>
      <w:pPr>
        <w:ind w:left="1440" w:hanging="360"/>
      </w:pPr>
      <w:rPr>
        <w:rFonts w:asciiTheme="minorHAnsi" w:hAnsiTheme="minorHAnsi" w:cstheme="minorHAnsi" w:hint="default"/>
        <w:color w:val="000000"/>
      </w:rPr>
    </w:lvl>
    <w:lvl w:ilvl="2">
      <w:start w:val="1"/>
      <w:numFmt w:val="decimal"/>
      <w:lvlText w:val="%1.%2.%3"/>
      <w:lvlJc w:val="left"/>
      <w:pPr>
        <w:ind w:left="2880" w:hanging="720"/>
      </w:pPr>
      <w:rPr>
        <w:rFonts w:ascii="Calibri" w:hAnsi="Calibri" w:cs="Calibri" w:hint="default"/>
        <w:color w:val="000000"/>
      </w:rPr>
    </w:lvl>
    <w:lvl w:ilvl="3">
      <w:start w:val="1"/>
      <w:numFmt w:val="decimal"/>
      <w:lvlText w:val="%1.%2.%3.%4"/>
      <w:lvlJc w:val="left"/>
      <w:pPr>
        <w:ind w:left="3960" w:hanging="720"/>
      </w:pPr>
      <w:rPr>
        <w:rFonts w:ascii="Calibri" w:hAnsi="Calibri" w:cs="Calibri" w:hint="default"/>
        <w:color w:val="000000"/>
      </w:rPr>
    </w:lvl>
    <w:lvl w:ilvl="4">
      <w:start w:val="1"/>
      <w:numFmt w:val="decimal"/>
      <w:lvlText w:val="%1.%2.%3.%4.%5"/>
      <w:lvlJc w:val="left"/>
      <w:pPr>
        <w:ind w:left="5400" w:hanging="1080"/>
      </w:pPr>
      <w:rPr>
        <w:rFonts w:ascii="Calibri" w:hAnsi="Calibri" w:cs="Calibri" w:hint="default"/>
        <w:color w:val="000000"/>
      </w:rPr>
    </w:lvl>
    <w:lvl w:ilvl="5">
      <w:start w:val="1"/>
      <w:numFmt w:val="decimal"/>
      <w:lvlText w:val="%1.%2.%3.%4.%5.%6"/>
      <w:lvlJc w:val="left"/>
      <w:pPr>
        <w:ind w:left="6480" w:hanging="1080"/>
      </w:pPr>
      <w:rPr>
        <w:rFonts w:ascii="Calibri" w:hAnsi="Calibri" w:cs="Calibri" w:hint="default"/>
        <w:color w:val="000000"/>
      </w:rPr>
    </w:lvl>
    <w:lvl w:ilvl="6">
      <w:start w:val="1"/>
      <w:numFmt w:val="decimal"/>
      <w:lvlText w:val="%1.%2.%3.%4.%5.%6.%7"/>
      <w:lvlJc w:val="left"/>
      <w:pPr>
        <w:ind w:left="7920" w:hanging="1440"/>
      </w:pPr>
      <w:rPr>
        <w:rFonts w:ascii="Calibri" w:hAnsi="Calibri" w:cs="Calibri" w:hint="default"/>
        <w:color w:val="000000"/>
      </w:rPr>
    </w:lvl>
    <w:lvl w:ilvl="7">
      <w:start w:val="1"/>
      <w:numFmt w:val="decimal"/>
      <w:lvlText w:val="%1.%2.%3.%4.%5.%6.%7.%8"/>
      <w:lvlJc w:val="left"/>
      <w:pPr>
        <w:ind w:left="9000" w:hanging="1440"/>
      </w:pPr>
      <w:rPr>
        <w:rFonts w:ascii="Calibri" w:hAnsi="Calibri" w:cs="Calibri" w:hint="default"/>
        <w:color w:val="000000"/>
      </w:rPr>
    </w:lvl>
    <w:lvl w:ilvl="8">
      <w:start w:val="1"/>
      <w:numFmt w:val="decimal"/>
      <w:lvlText w:val="%1.%2.%3.%4.%5.%6.%7.%8.%9"/>
      <w:lvlJc w:val="left"/>
      <w:pPr>
        <w:ind w:left="10440" w:hanging="1800"/>
      </w:pPr>
      <w:rPr>
        <w:rFonts w:ascii="Calibri" w:hAnsi="Calibri" w:cs="Calibri" w:hint="default"/>
        <w:color w:val="000000"/>
      </w:rPr>
    </w:lvl>
  </w:abstractNum>
  <w:abstractNum w:abstractNumId="35" w15:restartNumberingAfterBreak="0">
    <w:nsid w:val="5C33604C"/>
    <w:multiLevelType w:val="multilevel"/>
    <w:tmpl w:val="32C6593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6"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9D83F38"/>
    <w:multiLevelType w:val="multilevel"/>
    <w:tmpl w:val="CF964FF2"/>
    <w:lvl w:ilvl="0">
      <w:start w:val="2"/>
      <w:numFmt w:val="decimal"/>
      <w:lvlText w:val="%1."/>
      <w:lvlJc w:val="left"/>
      <w:pPr>
        <w:ind w:left="720" w:hanging="360"/>
      </w:pPr>
      <w:rPr>
        <w:rFonts w:hint="default"/>
      </w:rPr>
    </w:lvl>
    <w:lvl w:ilvl="1">
      <w:start w:val="1"/>
      <w:numFmt w:val="decimal"/>
      <w:lvlText w:val="%1.%2."/>
      <w:lvlJc w:val="left"/>
      <w:pPr>
        <w:ind w:left="1424"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6CC0605F"/>
    <w:multiLevelType w:val="hybridMultilevel"/>
    <w:tmpl w:val="B19652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1A16CFC"/>
    <w:multiLevelType w:val="hybridMultilevel"/>
    <w:tmpl w:val="7E3AFE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3C40306"/>
    <w:multiLevelType w:val="multilevel"/>
    <w:tmpl w:val="5AA0044A"/>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1" w15:restartNumberingAfterBreak="0">
    <w:nsid w:val="74CB7172"/>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2" w15:restartNumberingAfterBreak="0">
    <w:nsid w:val="7A3169FE"/>
    <w:multiLevelType w:val="hybridMultilevel"/>
    <w:tmpl w:val="1BB2FB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12"/>
  </w:num>
  <w:num w:numId="3">
    <w:abstractNumId w:val="36"/>
  </w:num>
  <w:num w:numId="4">
    <w:abstractNumId w:val="2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38"/>
  </w:num>
  <w:num w:numId="16">
    <w:abstractNumId w:val="35"/>
  </w:num>
  <w:num w:numId="17">
    <w:abstractNumId w:val="41"/>
  </w:num>
  <w:num w:numId="18">
    <w:abstractNumId w:val="25"/>
  </w:num>
  <w:num w:numId="19">
    <w:abstractNumId w:val="27"/>
  </w:num>
  <w:num w:numId="20">
    <w:abstractNumId w:val="28"/>
  </w:num>
  <w:num w:numId="21">
    <w:abstractNumId w:val="14"/>
  </w:num>
  <w:num w:numId="22">
    <w:abstractNumId w:val="39"/>
  </w:num>
  <w:num w:numId="23">
    <w:abstractNumId w:val="32"/>
  </w:num>
  <w:num w:numId="24">
    <w:abstractNumId w:val="42"/>
  </w:num>
  <w:num w:numId="25">
    <w:abstractNumId w:val="29"/>
  </w:num>
  <w:num w:numId="26">
    <w:abstractNumId w:val="16"/>
  </w:num>
  <w:num w:numId="27">
    <w:abstractNumId w:val="22"/>
  </w:num>
  <w:num w:numId="28">
    <w:abstractNumId w:val="21"/>
  </w:num>
  <w:num w:numId="29">
    <w:abstractNumId w:val="23"/>
  </w:num>
  <w:num w:numId="30">
    <w:abstractNumId w:val="31"/>
  </w:num>
  <w:num w:numId="31">
    <w:abstractNumId w:val="26"/>
  </w:num>
  <w:num w:numId="32">
    <w:abstractNumId w:val="37"/>
  </w:num>
  <w:num w:numId="33">
    <w:abstractNumId w:val="40"/>
  </w:num>
  <w:num w:numId="34">
    <w:abstractNumId w:val="18"/>
  </w:num>
  <w:num w:numId="35">
    <w:abstractNumId w:val="30"/>
  </w:num>
  <w:num w:numId="36">
    <w:abstractNumId w:val="15"/>
  </w:num>
  <w:num w:numId="37">
    <w:abstractNumId w:val="19"/>
  </w:num>
  <w:num w:numId="38">
    <w:abstractNumId w:val="20"/>
  </w:num>
  <w:num w:numId="39">
    <w:abstractNumId w:val="13"/>
  </w:num>
  <w:num w:numId="40">
    <w:abstractNumId w:val="33"/>
  </w:num>
  <w:num w:numId="41">
    <w:abstractNumId w:val="10"/>
  </w:num>
  <w:num w:numId="42">
    <w:abstractNumId w:val="1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50"/>
    <w:rsid w:val="000033A2"/>
    <w:rsid w:val="00083D59"/>
    <w:rsid w:val="00090264"/>
    <w:rsid w:val="000B3DBB"/>
    <w:rsid w:val="000B5DBE"/>
    <w:rsid w:val="000C064A"/>
    <w:rsid w:val="000C64F8"/>
    <w:rsid w:val="0010118A"/>
    <w:rsid w:val="0013319B"/>
    <w:rsid w:val="00151079"/>
    <w:rsid w:val="001543FF"/>
    <w:rsid w:val="00156337"/>
    <w:rsid w:val="00161E14"/>
    <w:rsid w:val="00180605"/>
    <w:rsid w:val="00180EAA"/>
    <w:rsid w:val="001942AC"/>
    <w:rsid w:val="001D3D66"/>
    <w:rsid w:val="001E30BC"/>
    <w:rsid w:val="00200A6B"/>
    <w:rsid w:val="00214207"/>
    <w:rsid w:val="0022053F"/>
    <w:rsid w:val="002324C9"/>
    <w:rsid w:val="00232A17"/>
    <w:rsid w:val="002361E1"/>
    <w:rsid w:val="0024077E"/>
    <w:rsid w:val="00253846"/>
    <w:rsid w:val="00280EB0"/>
    <w:rsid w:val="00287C0E"/>
    <w:rsid w:val="002D7059"/>
    <w:rsid w:val="002F7505"/>
    <w:rsid w:val="0033623B"/>
    <w:rsid w:val="003375D2"/>
    <w:rsid w:val="00357D49"/>
    <w:rsid w:val="00385613"/>
    <w:rsid w:val="003A5FFC"/>
    <w:rsid w:val="003B1945"/>
    <w:rsid w:val="003D27AE"/>
    <w:rsid w:val="003E0466"/>
    <w:rsid w:val="003F2164"/>
    <w:rsid w:val="003F45D4"/>
    <w:rsid w:val="00405B86"/>
    <w:rsid w:val="0045013D"/>
    <w:rsid w:val="004A2601"/>
    <w:rsid w:val="004A71BA"/>
    <w:rsid w:val="004B75EE"/>
    <w:rsid w:val="004C09C4"/>
    <w:rsid w:val="004E7D27"/>
    <w:rsid w:val="004F6AA4"/>
    <w:rsid w:val="00507B79"/>
    <w:rsid w:val="00512A3E"/>
    <w:rsid w:val="00535CDB"/>
    <w:rsid w:val="0054412C"/>
    <w:rsid w:val="00545667"/>
    <w:rsid w:val="00590917"/>
    <w:rsid w:val="005C26CE"/>
    <w:rsid w:val="005C7D79"/>
    <w:rsid w:val="005D4E69"/>
    <w:rsid w:val="005D7BE2"/>
    <w:rsid w:val="006318C2"/>
    <w:rsid w:val="006420D1"/>
    <w:rsid w:val="00645430"/>
    <w:rsid w:val="006653AB"/>
    <w:rsid w:val="00696054"/>
    <w:rsid w:val="006A3969"/>
    <w:rsid w:val="006D0387"/>
    <w:rsid w:val="006E6411"/>
    <w:rsid w:val="00712860"/>
    <w:rsid w:val="0072473C"/>
    <w:rsid w:val="0073020E"/>
    <w:rsid w:val="007452EF"/>
    <w:rsid w:val="007606A1"/>
    <w:rsid w:val="007766B9"/>
    <w:rsid w:val="007C3FC6"/>
    <w:rsid w:val="007C7310"/>
    <w:rsid w:val="007C73BB"/>
    <w:rsid w:val="007D2121"/>
    <w:rsid w:val="007E2EA1"/>
    <w:rsid w:val="007E6F37"/>
    <w:rsid w:val="00822F28"/>
    <w:rsid w:val="00823B50"/>
    <w:rsid w:val="00830298"/>
    <w:rsid w:val="008319F5"/>
    <w:rsid w:val="0085633A"/>
    <w:rsid w:val="00864F3F"/>
    <w:rsid w:val="008709F5"/>
    <w:rsid w:val="00873861"/>
    <w:rsid w:val="008B78E3"/>
    <w:rsid w:val="008D64B5"/>
    <w:rsid w:val="009010AB"/>
    <w:rsid w:val="00910BA1"/>
    <w:rsid w:val="00914CD6"/>
    <w:rsid w:val="009917EC"/>
    <w:rsid w:val="009A364C"/>
    <w:rsid w:val="009A43A6"/>
    <w:rsid w:val="009B0281"/>
    <w:rsid w:val="009D0C75"/>
    <w:rsid w:val="009E61BC"/>
    <w:rsid w:val="009F4074"/>
    <w:rsid w:val="009F76D4"/>
    <w:rsid w:val="00A0412B"/>
    <w:rsid w:val="00A07C74"/>
    <w:rsid w:val="00A15D52"/>
    <w:rsid w:val="00A2283B"/>
    <w:rsid w:val="00A52915"/>
    <w:rsid w:val="00A56E7E"/>
    <w:rsid w:val="00AA22E7"/>
    <w:rsid w:val="00AB5C08"/>
    <w:rsid w:val="00AC6CF4"/>
    <w:rsid w:val="00AD4075"/>
    <w:rsid w:val="00AF279F"/>
    <w:rsid w:val="00B0219C"/>
    <w:rsid w:val="00B14389"/>
    <w:rsid w:val="00B32B42"/>
    <w:rsid w:val="00B403A0"/>
    <w:rsid w:val="00B51E9A"/>
    <w:rsid w:val="00B73C66"/>
    <w:rsid w:val="00B834C3"/>
    <w:rsid w:val="00B925B3"/>
    <w:rsid w:val="00B955B3"/>
    <w:rsid w:val="00BA2BAD"/>
    <w:rsid w:val="00BE04A6"/>
    <w:rsid w:val="00BE59A1"/>
    <w:rsid w:val="00BF5EBC"/>
    <w:rsid w:val="00C3148F"/>
    <w:rsid w:val="00C324F4"/>
    <w:rsid w:val="00C374F7"/>
    <w:rsid w:val="00C41105"/>
    <w:rsid w:val="00C62555"/>
    <w:rsid w:val="00C713BD"/>
    <w:rsid w:val="00C75A35"/>
    <w:rsid w:val="00CB032A"/>
    <w:rsid w:val="00D35801"/>
    <w:rsid w:val="00D427B1"/>
    <w:rsid w:val="00D85E23"/>
    <w:rsid w:val="00DA11A8"/>
    <w:rsid w:val="00DE6621"/>
    <w:rsid w:val="00E105BD"/>
    <w:rsid w:val="00E524BF"/>
    <w:rsid w:val="00E71FCB"/>
    <w:rsid w:val="00E73E3F"/>
    <w:rsid w:val="00EA44C3"/>
    <w:rsid w:val="00EC677C"/>
    <w:rsid w:val="00F223FB"/>
    <w:rsid w:val="00F22F3D"/>
    <w:rsid w:val="00F35580"/>
    <w:rsid w:val="00F66781"/>
    <w:rsid w:val="00F723E8"/>
    <w:rsid w:val="00F922CC"/>
    <w:rsid w:val="00F97438"/>
    <w:rsid w:val="00FC7498"/>
    <w:rsid w:val="00FD3447"/>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417465"/>
  <w15:chartTrackingRefBased/>
  <w15:docId w15:val="{4BDABC14-3439-40C2-B0F2-19FF2FED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6"/>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6"/>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6"/>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6"/>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6"/>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6"/>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6"/>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character" w:customStyle="1" w:styleId="Tekst12pt">
    <w:name w:val="Tekst 12 pt"/>
    <w:uiPriority w:val="99"/>
    <w:rsid w:val="00BA2BAD"/>
    <w:rPr>
      <w:rFonts w:ascii="Garamond" w:hAnsi="Garamond" w:cs="Garamond"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aell\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8349179b03a3d01d0975332d32d38309">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9e62eb14c5507fd8ba3d9e866b575cf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klassifisering> </klassifisering>
</roo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2022-09-13T22:00:00+00:00</Gyldig_x0020_fra>
    <Kategori xmlns="ceb63489-f63f-49bb-80d7-9200be2bf1cf" xsi:nil="true"/>
    <Prosess xmlns="ceb63489-f63f-49bb-80d7-9200be2bf1cf">Utarbeid konkurransegrunnlag og innhent tilbud</Prosess>
    <Prosesstype xmlns="ceb63489-f63f-49bb-80d7-9200be2bf1cf">Gjennomføre anskaffelse</Prosess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A1EFF-8701-41F9-8C8F-437311C8E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562CCB43-B4B3-41C6-ADF0-1EF76880FDF8}">
  <ds:schemaRefs>
    <ds:schemaRef ds:uri="http://schemas.openxmlformats.org/officeDocument/2006/bibliography"/>
  </ds:schemaRefs>
</ds:datastoreItem>
</file>

<file path=customXml/itemProps4.xml><?xml version="1.0" encoding="utf-8"?>
<ds:datastoreItem xmlns:ds="http://schemas.openxmlformats.org/officeDocument/2006/customXml" ds:itemID="{C880B6FE-052A-4D09-A3A3-90D0A2DE7320}">
  <ds:schemaRef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159eb964-e578-4006-a64e-9cef19626a17"/>
    <ds:schemaRef ds:uri="ceb63489-f63f-49bb-80d7-9200be2bf1cf"/>
    <ds:schemaRef ds:uri="http://schemas.microsoft.com/office/infopath/2007/PartnerControls"/>
    <ds:schemaRef ds:uri="http://schemas.microsoft.com/sharepoint/v3/fields"/>
  </ds:schemaRefs>
</ds:datastoreItem>
</file>

<file path=customXml/itemProps5.xml><?xml version="1.0" encoding="utf-8"?>
<ds:datastoreItem xmlns:ds="http://schemas.openxmlformats.org/officeDocument/2006/customXml" ds:itemID="{624900B0-866A-4C03-8C74-BDD97971A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0</TotalTime>
  <Pages>3</Pages>
  <Words>1050</Words>
  <Characters>5570</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
  <cp:lastModifiedBy>Bård Ellingsen</cp:lastModifiedBy>
  <cp:revision>3</cp:revision>
  <dcterms:created xsi:type="dcterms:W3CDTF">2022-09-19T10:55:00Z</dcterms:created>
  <dcterms:modified xsi:type="dcterms:W3CDTF">2022-09-20T07:21:00Z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y fmtid="{D5CDD505-2E9C-101B-9397-08002B2CF9AE}" pid="3" name="Order">
    <vt:r8>110600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