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3923" w14:textId="77777777" w:rsidR="001579BE" w:rsidRDefault="001579BE" w:rsidP="001579BE">
      <w:pPr>
        <w:pStyle w:val="Heading1"/>
      </w:pPr>
      <w:r>
        <w:t>Krav ved innføring av ny leverandørtilgang/VPN.</w:t>
      </w:r>
    </w:p>
    <w:p w14:paraId="28CCDBA4" w14:textId="77777777" w:rsidR="001579BE" w:rsidRDefault="001579BE" w:rsidP="001579BE">
      <w:pPr>
        <w:pStyle w:val="Heading2"/>
      </w:pPr>
      <w:r>
        <w:t>Bakgrunn:</w:t>
      </w:r>
    </w:p>
    <w:p w14:paraId="5612F9F2" w14:textId="77777777" w:rsidR="001579BE" w:rsidRDefault="001579BE" w:rsidP="001579BE">
      <w:r>
        <w:t xml:space="preserve">I de tilfeller hvor den etablerte løsningen for fjerntilgang for leverandører ikke tilfredsstiller de behovene som finnes, så er det ofte et ønske å etablere en produsentspesifikk løsning. Dette er ofte inkludert som en del av serviceavtalen som er inngått og man har derfor ikke noe særlig mulighet til å fange dette opp som en del av en anskaffelse. </w:t>
      </w:r>
    </w:p>
    <w:p w14:paraId="310B8AD0" w14:textId="77777777" w:rsidR="001579BE" w:rsidRDefault="001579BE" w:rsidP="001579BE">
      <w:r>
        <w:t xml:space="preserve">Dette dokumentet søker å forenkle og standardisere innføringen av slike løsninger, noe som historisk sett har vært mye improvisert. </w:t>
      </w:r>
    </w:p>
    <w:p w14:paraId="22D9157F" w14:textId="77777777" w:rsidR="001579BE" w:rsidRDefault="001579BE" w:rsidP="001579BE"/>
    <w:p w14:paraId="7D1A6AFF" w14:textId="77777777" w:rsidR="001579BE" w:rsidRDefault="001579BE" w:rsidP="001579BE">
      <w:pPr>
        <w:pStyle w:val="Heading2"/>
      </w:pPr>
      <w:r>
        <w:t>Ordliste:</w:t>
      </w:r>
    </w:p>
    <w:p w14:paraId="7987ABE0" w14:textId="77777777" w:rsidR="001579BE" w:rsidRDefault="001579BE" w:rsidP="001579BE">
      <w:r>
        <w:rPr>
          <w:b/>
        </w:rPr>
        <w:t xml:space="preserve">Kunde: </w:t>
      </w:r>
      <w:r>
        <w:t xml:space="preserve">Helseforetak som ønsker fjerntilgang installert og som eier utstyret som skal vedlikeholdes. </w:t>
      </w:r>
    </w:p>
    <w:p w14:paraId="64D9984C" w14:textId="77777777" w:rsidR="001579BE" w:rsidRDefault="001579BE" w:rsidP="001579BE">
      <w:r w:rsidRPr="001579BE">
        <w:rPr>
          <w:b/>
        </w:rPr>
        <w:t>Leverandør:</w:t>
      </w:r>
      <w:r>
        <w:rPr>
          <w:b/>
        </w:rPr>
        <w:t xml:space="preserve"> </w:t>
      </w:r>
      <w:r>
        <w:t xml:space="preserve">Servicepartner/leverandør/produsent som skal benytte seg av tilgangen for å utføre vedlikehold. I tilfeller hvor en underleverandør benyttes så vil krav gjelde både kontraktspart og underleverandør, ansvar vil tilfalle kontraktspart. </w:t>
      </w:r>
    </w:p>
    <w:p w14:paraId="0AB4996B" w14:textId="1C7301EE" w:rsidR="001579BE" w:rsidRDefault="001579BE" w:rsidP="001579BE">
      <w:r>
        <w:rPr>
          <w:b/>
        </w:rPr>
        <w:t>HN</w:t>
      </w:r>
      <w:r w:rsidR="00460ECF">
        <w:rPr>
          <w:b/>
        </w:rPr>
        <w:t xml:space="preserve"> </w:t>
      </w:r>
      <w:r>
        <w:rPr>
          <w:b/>
        </w:rPr>
        <w:t xml:space="preserve">IKT: </w:t>
      </w:r>
      <w:r>
        <w:t xml:space="preserve">Helse Nord IKT. Regionalt IKT foretak. Drifts og infrastrukturleverandør i Helse Nord. </w:t>
      </w:r>
    </w:p>
    <w:p w14:paraId="031DC162" w14:textId="27908FBD" w:rsidR="004C29A9" w:rsidRDefault="004C29A9" w:rsidP="001579BE"/>
    <w:tbl>
      <w:tblPr>
        <w:tblW w:w="34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320"/>
      </w:tblGrid>
      <w:tr w:rsidR="004C29A9" w:rsidRPr="004C29A9" w14:paraId="24552389" w14:textId="77777777" w:rsidTr="00F037BA">
        <w:trPr>
          <w:trHeight w:val="3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E60D0" w14:textId="77777777" w:rsidR="004C29A9" w:rsidRPr="004C29A9" w:rsidRDefault="004C29A9" w:rsidP="004C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C29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H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512F5" w14:textId="77777777" w:rsidR="004C29A9" w:rsidRPr="004C29A9" w:rsidRDefault="004C29A9" w:rsidP="004C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C29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H</w:t>
            </w:r>
            <w:r w:rsidRPr="004C29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ovedansvarlig</w:t>
            </w:r>
          </w:p>
        </w:tc>
      </w:tr>
      <w:tr w:rsidR="004C29A9" w:rsidRPr="004C29A9" w14:paraId="476BD96A" w14:textId="77777777" w:rsidTr="00F037BA">
        <w:trPr>
          <w:trHeight w:val="3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11323" w14:textId="77777777" w:rsidR="004C29A9" w:rsidRPr="004C29A9" w:rsidRDefault="004C29A9" w:rsidP="004C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C29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U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813C8" w14:textId="77777777" w:rsidR="004C29A9" w:rsidRPr="004C29A9" w:rsidRDefault="004C29A9" w:rsidP="004C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C29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U</w:t>
            </w:r>
            <w:r w:rsidRPr="004C29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tfører </w:t>
            </w:r>
          </w:p>
        </w:tc>
      </w:tr>
      <w:tr w:rsidR="004C29A9" w:rsidRPr="004C29A9" w14:paraId="38DD8976" w14:textId="77777777" w:rsidTr="00F037BA">
        <w:trPr>
          <w:trHeight w:val="3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97B8" w14:textId="77777777" w:rsidR="004C29A9" w:rsidRPr="004C29A9" w:rsidRDefault="004C29A9" w:rsidP="004C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C29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K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2A03" w14:textId="77777777" w:rsidR="004C29A9" w:rsidRPr="004C29A9" w:rsidRDefault="004C29A9" w:rsidP="004C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C29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K</w:t>
            </w:r>
            <w:r w:rsidRPr="004C29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onsulteres</w:t>
            </w:r>
          </w:p>
        </w:tc>
      </w:tr>
      <w:tr w:rsidR="004C29A9" w:rsidRPr="004C29A9" w14:paraId="0F921773" w14:textId="77777777" w:rsidTr="00F037BA">
        <w:trPr>
          <w:trHeight w:val="3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3B93" w14:textId="77777777" w:rsidR="004C29A9" w:rsidRPr="004C29A9" w:rsidRDefault="004C29A9" w:rsidP="004C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C29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D49B8" w14:textId="77777777" w:rsidR="004C29A9" w:rsidRPr="004C29A9" w:rsidRDefault="004C29A9" w:rsidP="004C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C29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I</w:t>
            </w:r>
            <w:r w:rsidRPr="004C29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nformeres</w:t>
            </w:r>
          </w:p>
        </w:tc>
      </w:tr>
    </w:tbl>
    <w:p w14:paraId="6FE715E8" w14:textId="77777777" w:rsidR="004C29A9" w:rsidRDefault="004C29A9" w:rsidP="001579BE"/>
    <w:p w14:paraId="4D6E505F" w14:textId="77777777" w:rsidR="001579BE" w:rsidRDefault="001579BE" w:rsidP="001579BE">
      <w:pPr>
        <w:pStyle w:val="Heading2"/>
      </w:pPr>
      <w:r>
        <w:t>Formalkrav</w:t>
      </w:r>
      <w:r w:rsidR="005157A7">
        <w:t>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52"/>
        <w:gridCol w:w="1519"/>
        <w:gridCol w:w="1519"/>
        <w:gridCol w:w="1519"/>
      </w:tblGrid>
      <w:tr w:rsidR="0007732B" w:rsidRPr="009A6351" w14:paraId="47768489" w14:textId="77777777" w:rsidTr="003C290D">
        <w:tc>
          <w:tcPr>
            <w:tcW w:w="4652" w:type="dxa"/>
          </w:tcPr>
          <w:p w14:paraId="7C9E5786" w14:textId="572E9611" w:rsidR="0007732B" w:rsidRPr="009A6351" w:rsidRDefault="00460ECF" w:rsidP="00F037BA">
            <w:pPr>
              <w:pStyle w:val="Heading1"/>
              <w:outlineLvl w:val="0"/>
            </w:pPr>
            <w:r>
              <w:t>Krav/Aktør</w:t>
            </w:r>
          </w:p>
        </w:tc>
        <w:tc>
          <w:tcPr>
            <w:tcW w:w="1519" w:type="dxa"/>
          </w:tcPr>
          <w:p w14:paraId="6190BB92" w14:textId="642E2BA0" w:rsidR="0007732B" w:rsidRPr="009A6351" w:rsidRDefault="00460ECF" w:rsidP="003C290D">
            <w:r>
              <w:t>Kunde</w:t>
            </w:r>
          </w:p>
        </w:tc>
        <w:tc>
          <w:tcPr>
            <w:tcW w:w="1519" w:type="dxa"/>
          </w:tcPr>
          <w:p w14:paraId="0878AEAD" w14:textId="1A49B84F" w:rsidR="0007732B" w:rsidRPr="009A6351" w:rsidRDefault="00460ECF" w:rsidP="003C290D">
            <w:r>
              <w:t>Leverandør</w:t>
            </w:r>
          </w:p>
        </w:tc>
        <w:tc>
          <w:tcPr>
            <w:tcW w:w="1519" w:type="dxa"/>
          </w:tcPr>
          <w:p w14:paraId="18D1E623" w14:textId="3254B80B" w:rsidR="0007732B" w:rsidRPr="009A6351" w:rsidRDefault="00460ECF" w:rsidP="003C290D">
            <w:r>
              <w:t>HN IKT</w:t>
            </w:r>
          </w:p>
        </w:tc>
      </w:tr>
      <w:tr w:rsidR="00950804" w:rsidRPr="009A6351" w14:paraId="1E49C322" w14:textId="130889B4" w:rsidTr="00F037BA">
        <w:tc>
          <w:tcPr>
            <w:tcW w:w="4652" w:type="dxa"/>
          </w:tcPr>
          <w:p w14:paraId="0C0E5E71" w14:textId="77777777" w:rsidR="00950804" w:rsidRPr="009A6351" w:rsidRDefault="00950804" w:rsidP="009A6351">
            <w:pPr>
              <w:pStyle w:val="ListParagraph"/>
              <w:numPr>
                <w:ilvl w:val="0"/>
                <w:numId w:val="1"/>
              </w:numPr>
            </w:pPr>
            <w:r w:rsidRPr="009A6351">
              <w:t xml:space="preserve">Leverandør skal dokumentere sine internkontrollrutiner. Dokumentasjonen kan være i form av en ekstern revisjonsrapport eller sertifisering. </w:t>
            </w:r>
          </w:p>
        </w:tc>
        <w:tc>
          <w:tcPr>
            <w:tcW w:w="1519" w:type="dxa"/>
          </w:tcPr>
          <w:p w14:paraId="15DEEE3A" w14:textId="101ADAF4" w:rsidR="00950804" w:rsidRPr="009A6351" w:rsidRDefault="004C29A9" w:rsidP="00F037BA">
            <w:r>
              <w:t>I</w:t>
            </w:r>
          </w:p>
        </w:tc>
        <w:tc>
          <w:tcPr>
            <w:tcW w:w="1519" w:type="dxa"/>
          </w:tcPr>
          <w:p w14:paraId="7E67A3CB" w14:textId="2D77DAF6" w:rsidR="00950804" w:rsidRPr="009A6351" w:rsidRDefault="004C29A9" w:rsidP="00F037BA">
            <w:r>
              <w:t>H/U</w:t>
            </w:r>
          </w:p>
        </w:tc>
        <w:tc>
          <w:tcPr>
            <w:tcW w:w="1519" w:type="dxa"/>
          </w:tcPr>
          <w:p w14:paraId="4997789C" w14:textId="6B04C3D5" w:rsidR="00950804" w:rsidRPr="009A6351" w:rsidRDefault="004C29A9" w:rsidP="00F037BA">
            <w:r>
              <w:t>K</w:t>
            </w:r>
          </w:p>
        </w:tc>
      </w:tr>
      <w:tr w:rsidR="00950804" w:rsidRPr="009A6351" w14:paraId="52B9E1BE" w14:textId="01E61730" w:rsidTr="00F037BA">
        <w:tc>
          <w:tcPr>
            <w:tcW w:w="4652" w:type="dxa"/>
          </w:tcPr>
          <w:p w14:paraId="0ECFBE08" w14:textId="56CD4F81" w:rsidR="00950804" w:rsidRPr="009A6351" w:rsidRDefault="00950804" w:rsidP="009A6351">
            <w:pPr>
              <w:pStyle w:val="ListParagraph"/>
              <w:numPr>
                <w:ilvl w:val="0"/>
                <w:numId w:val="1"/>
              </w:numPr>
            </w:pPr>
            <w:r w:rsidRPr="009A6351">
              <w:t xml:space="preserve">Leverandør skal fremlegge en rapport fra siste inntrengingstest samt hvor ofte disse utføres. </w:t>
            </w:r>
          </w:p>
        </w:tc>
        <w:tc>
          <w:tcPr>
            <w:tcW w:w="1519" w:type="dxa"/>
          </w:tcPr>
          <w:p w14:paraId="0C49BC0C" w14:textId="69C58782" w:rsidR="00950804" w:rsidRPr="009A6351" w:rsidRDefault="004C29A9" w:rsidP="00F037BA">
            <w:r>
              <w:t>I</w:t>
            </w:r>
          </w:p>
        </w:tc>
        <w:tc>
          <w:tcPr>
            <w:tcW w:w="1519" w:type="dxa"/>
          </w:tcPr>
          <w:p w14:paraId="7EC3E68E" w14:textId="32DBC21B" w:rsidR="00950804" w:rsidRPr="009A6351" w:rsidRDefault="004C29A9" w:rsidP="00F037BA">
            <w:r>
              <w:t>H/U</w:t>
            </w:r>
          </w:p>
        </w:tc>
        <w:tc>
          <w:tcPr>
            <w:tcW w:w="1519" w:type="dxa"/>
          </w:tcPr>
          <w:p w14:paraId="73144E4C" w14:textId="55C189DC" w:rsidR="00950804" w:rsidRPr="009A6351" w:rsidRDefault="004C29A9" w:rsidP="00F037BA">
            <w:r>
              <w:t>K</w:t>
            </w:r>
          </w:p>
        </w:tc>
      </w:tr>
      <w:tr w:rsidR="00950804" w:rsidRPr="009A6351" w14:paraId="2962C359" w14:textId="0A10CA59" w:rsidTr="00F037BA">
        <w:tc>
          <w:tcPr>
            <w:tcW w:w="4652" w:type="dxa"/>
          </w:tcPr>
          <w:p w14:paraId="40160FA3" w14:textId="77777777" w:rsidR="00950804" w:rsidRPr="009A6351" w:rsidRDefault="00950804" w:rsidP="009A6351">
            <w:pPr>
              <w:pStyle w:val="ListParagraph"/>
              <w:numPr>
                <w:ilvl w:val="0"/>
                <w:numId w:val="1"/>
              </w:numPr>
            </w:pPr>
            <w:r w:rsidRPr="009A6351">
              <w:t>Leverandør skal framlegge en liste over de som skal bruke denne tilgangen. Det opprettes kontoer til disse brukerene opprettes etter gjeldende rutiner for leverandørkonto.</w:t>
            </w:r>
          </w:p>
        </w:tc>
        <w:tc>
          <w:tcPr>
            <w:tcW w:w="1519" w:type="dxa"/>
          </w:tcPr>
          <w:p w14:paraId="3DC7CE86" w14:textId="35EF7CD2" w:rsidR="00950804" w:rsidRPr="009A6351" w:rsidRDefault="004C29A9" w:rsidP="00F037BA">
            <w:r>
              <w:t>K</w:t>
            </w:r>
          </w:p>
        </w:tc>
        <w:tc>
          <w:tcPr>
            <w:tcW w:w="1519" w:type="dxa"/>
          </w:tcPr>
          <w:p w14:paraId="40635EA6" w14:textId="37C4027E" w:rsidR="00950804" w:rsidRPr="009A6351" w:rsidRDefault="004C29A9" w:rsidP="00F037BA">
            <w:r>
              <w:t>H</w:t>
            </w:r>
          </w:p>
        </w:tc>
        <w:tc>
          <w:tcPr>
            <w:tcW w:w="1519" w:type="dxa"/>
          </w:tcPr>
          <w:p w14:paraId="412F6FC7" w14:textId="67E663E0" w:rsidR="00950804" w:rsidRPr="009A6351" w:rsidRDefault="004C29A9" w:rsidP="00F037BA">
            <w:r>
              <w:t>U/K</w:t>
            </w:r>
          </w:p>
        </w:tc>
      </w:tr>
      <w:tr w:rsidR="00950804" w:rsidRPr="009A6351" w14:paraId="3842424F" w14:textId="66BDA963" w:rsidTr="00F037BA">
        <w:tc>
          <w:tcPr>
            <w:tcW w:w="4652" w:type="dxa"/>
          </w:tcPr>
          <w:p w14:paraId="4CECECB9" w14:textId="77777777" w:rsidR="00950804" w:rsidRPr="009A6351" w:rsidRDefault="00950804" w:rsidP="009A6351">
            <w:pPr>
              <w:pStyle w:val="ListParagraph"/>
              <w:numPr>
                <w:ilvl w:val="0"/>
                <w:numId w:val="1"/>
              </w:numPr>
            </w:pPr>
            <w:r w:rsidRPr="009A6351">
              <w:t>Gyldig databehandleravtale skal foreligge.</w:t>
            </w:r>
          </w:p>
        </w:tc>
        <w:tc>
          <w:tcPr>
            <w:tcW w:w="1519" w:type="dxa"/>
          </w:tcPr>
          <w:p w14:paraId="642708C2" w14:textId="081A11FA" w:rsidR="00950804" w:rsidRPr="009A6351" w:rsidRDefault="004C29A9" w:rsidP="00F037BA">
            <w:r>
              <w:t>H</w:t>
            </w:r>
            <w:r w:rsidR="00994D18">
              <w:t>/U</w:t>
            </w:r>
          </w:p>
        </w:tc>
        <w:tc>
          <w:tcPr>
            <w:tcW w:w="1519" w:type="dxa"/>
          </w:tcPr>
          <w:p w14:paraId="5923FDCC" w14:textId="3AAFEEE7" w:rsidR="00950804" w:rsidRPr="009A6351" w:rsidRDefault="004C29A9" w:rsidP="00F037BA">
            <w:r>
              <w:t>U</w:t>
            </w:r>
          </w:p>
        </w:tc>
        <w:tc>
          <w:tcPr>
            <w:tcW w:w="1519" w:type="dxa"/>
          </w:tcPr>
          <w:p w14:paraId="15183241" w14:textId="32A8D4C0" w:rsidR="00950804" w:rsidRPr="009A6351" w:rsidRDefault="004C29A9" w:rsidP="00F037BA">
            <w:r>
              <w:t>I</w:t>
            </w:r>
          </w:p>
        </w:tc>
      </w:tr>
      <w:tr w:rsidR="00950804" w:rsidRPr="009A6351" w14:paraId="717227E1" w14:textId="6DD7B34F" w:rsidTr="00F037BA">
        <w:tc>
          <w:tcPr>
            <w:tcW w:w="4652" w:type="dxa"/>
          </w:tcPr>
          <w:p w14:paraId="60F6A704" w14:textId="19B28C89" w:rsidR="00950804" w:rsidRPr="009A6351" w:rsidRDefault="00950804" w:rsidP="009A6351">
            <w:pPr>
              <w:pStyle w:val="ListParagraph"/>
              <w:numPr>
                <w:ilvl w:val="0"/>
                <w:numId w:val="1"/>
              </w:numPr>
            </w:pPr>
            <w:r w:rsidRPr="009A6351">
              <w:t xml:space="preserve">For tilgang fra lokasjoner utenfor EU/EØS så </w:t>
            </w:r>
            <w:r w:rsidR="006426AA">
              <w:t>skal</w:t>
            </w:r>
            <w:bookmarkStart w:id="0" w:name="_GoBack"/>
            <w:bookmarkEnd w:id="0"/>
            <w:r w:rsidRPr="009A6351">
              <w:t xml:space="preserve"> gjeldende rettslige krav følges. </w:t>
            </w:r>
          </w:p>
        </w:tc>
        <w:tc>
          <w:tcPr>
            <w:tcW w:w="1519" w:type="dxa"/>
          </w:tcPr>
          <w:p w14:paraId="23F33FEE" w14:textId="59EC7831" w:rsidR="00950804" w:rsidRPr="009A6351" w:rsidRDefault="004C29A9" w:rsidP="00F037BA">
            <w:r>
              <w:t>H</w:t>
            </w:r>
          </w:p>
        </w:tc>
        <w:tc>
          <w:tcPr>
            <w:tcW w:w="1519" w:type="dxa"/>
          </w:tcPr>
          <w:p w14:paraId="0625A40E" w14:textId="5FCBD434" w:rsidR="00950804" w:rsidRPr="009A6351" w:rsidRDefault="004C29A9" w:rsidP="00F037BA">
            <w:r>
              <w:t>U</w:t>
            </w:r>
          </w:p>
        </w:tc>
        <w:tc>
          <w:tcPr>
            <w:tcW w:w="1519" w:type="dxa"/>
          </w:tcPr>
          <w:p w14:paraId="0706CCE6" w14:textId="2998B804" w:rsidR="00950804" w:rsidRPr="009A6351" w:rsidRDefault="004C29A9" w:rsidP="00F037BA">
            <w:r>
              <w:t>K</w:t>
            </w:r>
          </w:p>
        </w:tc>
      </w:tr>
      <w:tr w:rsidR="00950804" w:rsidRPr="009A6351" w14:paraId="5CF5A6EA" w14:textId="501D5168" w:rsidTr="00F037BA">
        <w:tc>
          <w:tcPr>
            <w:tcW w:w="4652" w:type="dxa"/>
          </w:tcPr>
          <w:p w14:paraId="4370E45D" w14:textId="77777777" w:rsidR="00950804" w:rsidRPr="009A6351" w:rsidRDefault="00950804" w:rsidP="009A6351">
            <w:pPr>
              <w:pStyle w:val="ListParagraph"/>
              <w:numPr>
                <w:ilvl w:val="0"/>
                <w:numId w:val="1"/>
              </w:numPr>
            </w:pPr>
            <w:r w:rsidRPr="009A6351">
              <w:lastRenderedPageBreak/>
              <w:t xml:space="preserve">Det skal foreligge en risikovurdering med fokus på nettverksåpninger fra terminering av forbindelsen. </w:t>
            </w:r>
          </w:p>
        </w:tc>
        <w:tc>
          <w:tcPr>
            <w:tcW w:w="1519" w:type="dxa"/>
          </w:tcPr>
          <w:p w14:paraId="03A1F85E" w14:textId="1ECE520B" w:rsidR="00950804" w:rsidRPr="009A6351" w:rsidRDefault="00111960" w:rsidP="00F037BA">
            <w:r>
              <w:t>H/U</w:t>
            </w:r>
          </w:p>
        </w:tc>
        <w:tc>
          <w:tcPr>
            <w:tcW w:w="1519" w:type="dxa"/>
          </w:tcPr>
          <w:p w14:paraId="65BDCD6A" w14:textId="6C2E3FF1" w:rsidR="00950804" w:rsidRPr="009A6351" w:rsidRDefault="00111960" w:rsidP="00F037BA">
            <w:r>
              <w:t>I</w:t>
            </w:r>
          </w:p>
        </w:tc>
        <w:tc>
          <w:tcPr>
            <w:tcW w:w="1519" w:type="dxa"/>
          </w:tcPr>
          <w:p w14:paraId="0FC8EEFB" w14:textId="4CD241C1" w:rsidR="00950804" w:rsidRPr="009A6351" w:rsidRDefault="00111960" w:rsidP="00F037BA">
            <w:r>
              <w:t>U/K</w:t>
            </w:r>
          </w:p>
        </w:tc>
      </w:tr>
      <w:tr w:rsidR="00950804" w:rsidRPr="009A6351" w14:paraId="4C87B9F1" w14:textId="048B8463" w:rsidTr="00F037BA">
        <w:tc>
          <w:tcPr>
            <w:tcW w:w="4652" w:type="dxa"/>
          </w:tcPr>
          <w:p w14:paraId="571144C2" w14:textId="77777777" w:rsidR="00950804" w:rsidRPr="009A6351" w:rsidRDefault="00950804" w:rsidP="009A6351">
            <w:pPr>
              <w:pStyle w:val="ListParagraph"/>
              <w:numPr>
                <w:ilvl w:val="0"/>
                <w:numId w:val="1"/>
              </w:numPr>
            </w:pPr>
            <w:r w:rsidRPr="009A6351">
              <w:t>Det skal foreligge en risikovurdering rundt de opplysninger som vil bli eksponert for en ekstern leverandør.</w:t>
            </w:r>
          </w:p>
        </w:tc>
        <w:tc>
          <w:tcPr>
            <w:tcW w:w="1519" w:type="dxa"/>
          </w:tcPr>
          <w:p w14:paraId="713E70F5" w14:textId="5312B87E" w:rsidR="00950804" w:rsidRPr="009A6351" w:rsidRDefault="00111960" w:rsidP="00F037BA">
            <w:r>
              <w:t>H/U</w:t>
            </w:r>
          </w:p>
        </w:tc>
        <w:tc>
          <w:tcPr>
            <w:tcW w:w="1519" w:type="dxa"/>
          </w:tcPr>
          <w:p w14:paraId="51DB8587" w14:textId="103CA1ED" w:rsidR="00950804" w:rsidRPr="009A6351" w:rsidRDefault="00111960" w:rsidP="00F037BA">
            <w:r>
              <w:t>I</w:t>
            </w:r>
          </w:p>
        </w:tc>
        <w:tc>
          <w:tcPr>
            <w:tcW w:w="1519" w:type="dxa"/>
          </w:tcPr>
          <w:p w14:paraId="776282E8" w14:textId="011CC703" w:rsidR="00950804" w:rsidRPr="009A6351" w:rsidRDefault="00111960" w:rsidP="00F037BA">
            <w:r>
              <w:t>K</w:t>
            </w:r>
          </w:p>
        </w:tc>
      </w:tr>
      <w:tr w:rsidR="00950804" w:rsidRPr="009A6351" w14:paraId="112DB015" w14:textId="3E02B57B" w:rsidTr="00F037BA">
        <w:tc>
          <w:tcPr>
            <w:tcW w:w="4652" w:type="dxa"/>
          </w:tcPr>
          <w:p w14:paraId="0DF528DF" w14:textId="77777777" w:rsidR="00950804" w:rsidRPr="009A6351" w:rsidRDefault="00950804" w:rsidP="009A635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9A6351">
              <w:t>Det skal foreligge en anbefaling i fra Helse Nords Fagråd for informasjonssikkerhet (FRIS) om at tilgangen skal innføres</w:t>
            </w:r>
          </w:p>
        </w:tc>
        <w:tc>
          <w:tcPr>
            <w:tcW w:w="1519" w:type="dxa"/>
          </w:tcPr>
          <w:p w14:paraId="5858F47A" w14:textId="2D4DB7D1" w:rsidR="00950804" w:rsidRPr="009A6351" w:rsidRDefault="00111960" w:rsidP="00F037BA">
            <w:r>
              <w:t>H/U</w:t>
            </w:r>
          </w:p>
        </w:tc>
        <w:tc>
          <w:tcPr>
            <w:tcW w:w="1519" w:type="dxa"/>
          </w:tcPr>
          <w:p w14:paraId="599579B7" w14:textId="1991A0C6" w:rsidR="00950804" w:rsidRPr="009A6351" w:rsidRDefault="00111960" w:rsidP="00F037BA">
            <w:r>
              <w:t>I</w:t>
            </w:r>
          </w:p>
        </w:tc>
        <w:tc>
          <w:tcPr>
            <w:tcW w:w="1519" w:type="dxa"/>
          </w:tcPr>
          <w:p w14:paraId="08F902C8" w14:textId="02D1893A" w:rsidR="00950804" w:rsidRPr="009A6351" w:rsidRDefault="00111960" w:rsidP="00F037BA">
            <w:r>
              <w:t>K</w:t>
            </w:r>
          </w:p>
        </w:tc>
      </w:tr>
      <w:tr w:rsidR="00D07AB3" w:rsidRPr="009A6351" w14:paraId="3A38FCE1" w14:textId="77777777" w:rsidTr="00F037BA">
        <w:tc>
          <w:tcPr>
            <w:tcW w:w="4652" w:type="dxa"/>
          </w:tcPr>
          <w:p w14:paraId="1964CD96" w14:textId="00C0CE59" w:rsidR="00D07AB3" w:rsidRPr="009A6351" w:rsidRDefault="00D07AB3" w:rsidP="009A6351">
            <w:pPr>
              <w:pStyle w:val="ListParagraph"/>
              <w:numPr>
                <w:ilvl w:val="0"/>
                <w:numId w:val="1"/>
              </w:numPr>
            </w:pPr>
            <w:r>
              <w:t xml:space="preserve">Hvis det ikke er mulig </w:t>
            </w:r>
            <w:r w:rsidR="00A168F2">
              <w:t>å</w:t>
            </w:r>
            <w:r>
              <w:t xml:space="preserve"> oppfylle disse kravene, eller at man i drift havner i avvik så skal det gjøres en ny risikovurdering og eventuelle tiltak skal implementeres før koblingen kan brukes. </w:t>
            </w:r>
          </w:p>
        </w:tc>
        <w:tc>
          <w:tcPr>
            <w:tcW w:w="1519" w:type="dxa"/>
          </w:tcPr>
          <w:p w14:paraId="4B2FB820" w14:textId="3C35E43C" w:rsidR="00D07AB3" w:rsidRDefault="00D07AB3" w:rsidP="00F037BA">
            <w:r>
              <w:t>H/U</w:t>
            </w:r>
          </w:p>
        </w:tc>
        <w:tc>
          <w:tcPr>
            <w:tcW w:w="1519" w:type="dxa"/>
          </w:tcPr>
          <w:p w14:paraId="00B78C27" w14:textId="7A81A75D" w:rsidR="00D07AB3" w:rsidRDefault="00D07AB3" w:rsidP="00F037BA">
            <w:r>
              <w:t>I</w:t>
            </w:r>
          </w:p>
        </w:tc>
        <w:tc>
          <w:tcPr>
            <w:tcW w:w="1519" w:type="dxa"/>
          </w:tcPr>
          <w:p w14:paraId="1C88768F" w14:textId="5AFE8542" w:rsidR="00D07AB3" w:rsidRDefault="00D07AB3" w:rsidP="00F037BA">
            <w:r>
              <w:t>K</w:t>
            </w:r>
          </w:p>
        </w:tc>
      </w:tr>
    </w:tbl>
    <w:p w14:paraId="2FEEFDCC" w14:textId="775E2C9C" w:rsidR="2CAF171A" w:rsidRDefault="2CAF171A" w:rsidP="00F037BA">
      <w:pPr>
        <w:pStyle w:val="ListParagraph"/>
      </w:pPr>
    </w:p>
    <w:p w14:paraId="07485A07" w14:textId="77777777" w:rsidR="001F6924" w:rsidRDefault="001F6924" w:rsidP="001F6924">
      <w:pPr>
        <w:pStyle w:val="Heading2"/>
      </w:pPr>
      <w:r>
        <w:t>Teknisk-funksjonelle krav:</w:t>
      </w:r>
    </w:p>
    <w:p w14:paraId="7DB282F3" w14:textId="77777777" w:rsidR="001F6924" w:rsidRDefault="001F6924" w:rsidP="001F6924">
      <w:pPr>
        <w:pStyle w:val="ListParagraph"/>
        <w:numPr>
          <w:ilvl w:val="0"/>
          <w:numId w:val="2"/>
        </w:numPr>
      </w:pPr>
      <w:r>
        <w:t xml:space="preserve">Tilkobling skal initieres fra Helse nord sin side av tilgangen. </w:t>
      </w:r>
    </w:p>
    <w:p w14:paraId="44569E43" w14:textId="77777777" w:rsidR="001F6924" w:rsidRDefault="001F6924" w:rsidP="001F6924">
      <w:pPr>
        <w:pStyle w:val="ListParagraph"/>
        <w:numPr>
          <w:ilvl w:val="0"/>
          <w:numId w:val="2"/>
        </w:numPr>
      </w:pPr>
      <w:r>
        <w:t>Tilkoblingen skal kobles ned når oppdraget er utført.</w:t>
      </w:r>
    </w:p>
    <w:p w14:paraId="4A023F17" w14:textId="72E24B30" w:rsidR="001F6924" w:rsidRDefault="001F6924" w:rsidP="001F6924">
      <w:pPr>
        <w:pStyle w:val="ListParagraph"/>
        <w:numPr>
          <w:ilvl w:val="0"/>
          <w:numId w:val="2"/>
        </w:numPr>
      </w:pPr>
      <w:r>
        <w:t xml:space="preserve">Tilgang skal logges. Minimum opp og nedkoblingstid, hvem som logger på, og formål for oppkobling. </w:t>
      </w:r>
    </w:p>
    <w:p w14:paraId="533B2B86" w14:textId="2E700955" w:rsidR="001F6924" w:rsidRDefault="004E36C4" w:rsidP="001F6924">
      <w:pPr>
        <w:pStyle w:val="ListParagraph"/>
        <w:numPr>
          <w:ilvl w:val="0"/>
          <w:numId w:val="2"/>
        </w:numPr>
      </w:pPr>
      <w:r w:rsidRPr="004E36C4">
        <w:t>Leverandør skal kunne dokumentere handlinger utført ved fjerntilganger eksempelvis ved sesjons opptak.</w:t>
      </w:r>
    </w:p>
    <w:p w14:paraId="2001892D" w14:textId="77777777" w:rsidR="0062022D" w:rsidRDefault="0062022D" w:rsidP="001F6924">
      <w:pPr>
        <w:pStyle w:val="ListParagraph"/>
        <w:numPr>
          <w:ilvl w:val="0"/>
          <w:numId w:val="2"/>
        </w:numPr>
      </w:pPr>
      <w:r>
        <w:t xml:space="preserve">Programvare som benyttes skal være oppdatert, alle sikkerhetsoppdateringer skal installeres så snart som mulig. </w:t>
      </w:r>
    </w:p>
    <w:p w14:paraId="75F8407C" w14:textId="77777777" w:rsidR="0062022D" w:rsidRDefault="0062022D" w:rsidP="0062022D">
      <w:pPr>
        <w:pStyle w:val="Heading2"/>
      </w:pPr>
      <w:r>
        <w:t>Implementasjonskrav.</w:t>
      </w:r>
    </w:p>
    <w:p w14:paraId="4FCEDDA4" w14:textId="6D89D6DB" w:rsidR="0062022D" w:rsidRDefault="00111960" w:rsidP="0062022D">
      <w:pPr>
        <w:pStyle w:val="ListParagraph"/>
        <w:numPr>
          <w:ilvl w:val="0"/>
          <w:numId w:val="3"/>
        </w:numPr>
      </w:pPr>
      <w:r>
        <w:t xml:space="preserve">Tilkobling </w:t>
      </w:r>
      <w:r w:rsidR="0062022D">
        <w:t>termineres i ege</w:t>
      </w:r>
      <w:r w:rsidR="005A2D87">
        <w:t>n sikkerhetssone.</w:t>
      </w:r>
    </w:p>
    <w:p w14:paraId="4E19BB83" w14:textId="10D3CBCB" w:rsidR="005157A7" w:rsidRDefault="0062022D" w:rsidP="001579BE">
      <w:pPr>
        <w:pStyle w:val="ListParagraph"/>
        <w:numPr>
          <w:ilvl w:val="0"/>
          <w:numId w:val="3"/>
        </w:numPr>
      </w:pPr>
      <w:r>
        <w:t xml:space="preserve">Det skal kun være nettverkstilgang til relevant utstyr fra sonen. Det skal være begrenset til relevante porter og protokoller. </w:t>
      </w:r>
    </w:p>
    <w:p w14:paraId="283DE0EC" w14:textId="77777777" w:rsidR="00E002DE" w:rsidRPr="001579BE" w:rsidRDefault="00E002DE" w:rsidP="00F037BA">
      <w:pPr>
        <w:pStyle w:val="ListParagraph"/>
      </w:pPr>
    </w:p>
    <w:p w14:paraId="7E41C9B4" w14:textId="6DC56FA9" w:rsidR="5795B066" w:rsidRDefault="5795B066" w:rsidP="00F037BA"/>
    <w:p w14:paraId="522D7FA4" w14:textId="16A7644A" w:rsidR="5795B066" w:rsidRDefault="5795B066" w:rsidP="5795B066"/>
    <w:p w14:paraId="195BFC3F" w14:textId="45954A6A" w:rsidR="5795B066" w:rsidRDefault="5795B066" w:rsidP="5795B066"/>
    <w:sectPr w:rsidR="5795B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D1FB4"/>
    <w:multiLevelType w:val="hybridMultilevel"/>
    <w:tmpl w:val="D17E75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E4D67"/>
    <w:multiLevelType w:val="hybridMultilevel"/>
    <w:tmpl w:val="6E784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91D8F"/>
    <w:multiLevelType w:val="hybridMultilevel"/>
    <w:tmpl w:val="62FE26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BE"/>
    <w:rsid w:val="0007732B"/>
    <w:rsid w:val="00111960"/>
    <w:rsid w:val="00120259"/>
    <w:rsid w:val="001579BE"/>
    <w:rsid w:val="001F6924"/>
    <w:rsid w:val="003C290D"/>
    <w:rsid w:val="00460ECF"/>
    <w:rsid w:val="004C29A9"/>
    <w:rsid w:val="004E36C4"/>
    <w:rsid w:val="005157A7"/>
    <w:rsid w:val="005726C7"/>
    <w:rsid w:val="005A2D87"/>
    <w:rsid w:val="0062022D"/>
    <w:rsid w:val="006426AA"/>
    <w:rsid w:val="006D6446"/>
    <w:rsid w:val="00920060"/>
    <w:rsid w:val="00950804"/>
    <w:rsid w:val="009571C4"/>
    <w:rsid w:val="00994D18"/>
    <w:rsid w:val="00A168F2"/>
    <w:rsid w:val="00D07AB3"/>
    <w:rsid w:val="00E002DE"/>
    <w:rsid w:val="00EA02A3"/>
    <w:rsid w:val="00F037BA"/>
    <w:rsid w:val="00F2075A"/>
    <w:rsid w:val="179AE28B"/>
    <w:rsid w:val="2CAF171A"/>
    <w:rsid w:val="361A1EE7"/>
    <w:rsid w:val="5795B066"/>
    <w:rsid w:val="5F1E3FE4"/>
    <w:rsid w:val="78A32FFC"/>
    <w:rsid w:val="791BA62E"/>
    <w:rsid w:val="7B3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D800"/>
  <w15:chartTrackingRefBased/>
  <w15:docId w15:val="{3E94FE09-95BE-4A1C-8814-F5210897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9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9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157A7"/>
    <w:pPr>
      <w:ind w:left="720"/>
      <w:contextualSpacing/>
    </w:pPr>
  </w:style>
  <w:style w:type="table" w:styleId="TableGrid">
    <w:name w:val="Table Grid"/>
    <w:basedOn w:val="TableNormal"/>
    <w:uiPriority w:val="39"/>
    <w:rsid w:val="00E0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31">
    <w:name w:val="font131"/>
    <w:basedOn w:val="DefaultParagraphFont"/>
    <w:rsid w:val="004C29A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241">
    <w:name w:val="font241"/>
    <w:basedOn w:val="DefaultParagraphFont"/>
    <w:rsid w:val="004C29A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8E3EC-E4A2-44AA-B6C4-F54421C2322E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elements/1.1/"/>
    <ds:schemaRef ds:uri="http://www.w3.org/XML/1998/namespace"/>
    <ds:schemaRef ds:uri="22aabe4c-1baf-4414-8255-c91c4f09fc04"/>
    <ds:schemaRef ds:uri="http://purl.org/dc/dcmitype/"/>
    <ds:schemaRef ds:uri="43139959-9b96-4dd7-b78b-56de2feb3e5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EFB9A6-ADF2-4A48-8CA7-3D8D664A1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7D12F-B0EE-4AAB-9253-6965BB2ADC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6883</TotalTime>
  <Pages>2</Pages>
  <Words>461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Trollvik Jostein</dc:creator>
  <cp:keywords/>
  <dc:description/>
  <cp:lastModifiedBy>Trollvik Jostein</cp:lastModifiedBy>
  <cp:revision>15</cp:revision>
  <dcterms:created xsi:type="dcterms:W3CDTF">2021-01-29T12:03:00Z</dcterms:created>
  <dcterms:modified xsi:type="dcterms:W3CDTF">2021-03-08T08:02:00Z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0x0101003DCE81F561724643BB07F9F22C66D69B</vt:lpwstr>
  </property>
</Properties>
</file>