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AB0C" w14:textId="6C3DCBAA" w:rsidR="00D07EA1" w:rsidRPr="00D07EA1" w:rsidRDefault="00D07EA1" w:rsidP="00D07EA1">
      <w:pPr>
        <w:rPr>
          <w:b/>
          <w:sz w:val="32"/>
          <w:szCs w:val="32"/>
        </w:rPr>
      </w:pPr>
      <w:r w:rsidRPr="00D07EA1">
        <w:rPr>
          <w:b/>
          <w:sz w:val="32"/>
          <w:szCs w:val="32"/>
        </w:rPr>
        <w:t>Vedlegg 3 – Bruksanvisning og begrunnelse for sladding av tilbud</w:t>
      </w:r>
    </w:p>
    <w:p w14:paraId="0E40D22A" w14:textId="77777777" w:rsidR="00D07EA1" w:rsidRPr="00993D45" w:rsidRDefault="00D07EA1" w:rsidP="00D07EA1"/>
    <w:p w14:paraId="67CB50D3" w14:textId="77777777" w:rsidR="00D07EA1" w:rsidRDefault="00D07EA1" w:rsidP="00D07EA1"/>
    <w:p w14:paraId="7DE89800" w14:textId="77777777" w:rsidR="00D07EA1" w:rsidRDefault="00D07EA1" w:rsidP="00D07EA1"/>
    <w:p w14:paraId="5F1C20AC" w14:textId="77777777" w:rsidR="00D07EA1" w:rsidRDefault="00D07EA1" w:rsidP="00D07EA1"/>
    <w:p w14:paraId="551E5D3F" w14:textId="77777777" w:rsidR="00D07EA1" w:rsidRDefault="00D07EA1" w:rsidP="00D07EA1"/>
    <w:p w14:paraId="08EC0FE8" w14:textId="77777777" w:rsidR="00D07EA1" w:rsidRDefault="00D07EA1" w:rsidP="00D07EA1"/>
    <w:p w14:paraId="037F437E" w14:textId="77777777" w:rsidR="00D07EA1" w:rsidRPr="00993D45" w:rsidRDefault="00D07EA1" w:rsidP="00D07EA1">
      <w:pPr>
        <w:keepNext/>
        <w:keepLines/>
        <w:spacing w:before="240"/>
        <w:outlineLvl w:val="0"/>
        <w:rPr>
          <w:rFonts w:ascii="Calibri" w:eastAsiaTheme="majorEastAsia" w:hAnsi="Calibri" w:cstheme="majorBidi"/>
          <w:b/>
          <w:sz w:val="28"/>
          <w:szCs w:val="32"/>
        </w:rPr>
      </w:pPr>
    </w:p>
    <w:p w14:paraId="444CF3E4" w14:textId="77777777" w:rsidR="00D07EA1" w:rsidRPr="00993D45" w:rsidRDefault="00D07EA1" w:rsidP="00D07EA1">
      <w:pPr>
        <w:keepNext/>
        <w:keepLines/>
        <w:spacing w:before="240"/>
        <w:outlineLvl w:val="0"/>
        <w:rPr>
          <w:rFonts w:ascii="Calibri" w:eastAsiaTheme="majorEastAsia" w:hAnsi="Calibri" w:cstheme="majorBidi"/>
          <w:b/>
          <w:sz w:val="28"/>
          <w:szCs w:val="32"/>
        </w:rPr>
      </w:pPr>
    </w:p>
    <w:p w14:paraId="09E47EAF" w14:textId="77777777" w:rsidR="00573B90" w:rsidRPr="00573B90" w:rsidRDefault="00D07EA1" w:rsidP="00573B90">
      <w:pPr>
        <w:keepNext/>
        <w:keepLines/>
        <w:spacing w:after="0"/>
        <w:outlineLvl w:val="0"/>
        <w:rPr>
          <w:rFonts w:ascii="Calibri" w:eastAsiaTheme="majorEastAsia" w:hAnsi="Calibri" w:cstheme="majorBidi"/>
          <w:b/>
          <w:sz w:val="28"/>
          <w:szCs w:val="32"/>
          <w:lang w:val="nn-NO"/>
        </w:rPr>
      </w:pPr>
      <w:r w:rsidRPr="00573B90">
        <w:rPr>
          <w:rFonts w:ascii="Calibri" w:eastAsiaTheme="majorEastAsia" w:hAnsi="Calibri" w:cstheme="majorBidi"/>
          <w:b/>
          <w:sz w:val="28"/>
          <w:szCs w:val="32"/>
          <w:lang w:val="nn-NO"/>
        </w:rPr>
        <w:br/>
      </w:r>
      <w:r w:rsidR="00573B90" w:rsidRPr="00573B90">
        <w:rPr>
          <w:rFonts w:ascii="Calibri" w:eastAsiaTheme="majorEastAsia" w:hAnsi="Calibri" w:cstheme="majorBidi"/>
          <w:b/>
          <w:sz w:val="28"/>
          <w:szCs w:val="32"/>
          <w:lang w:val="nn-NO"/>
        </w:rPr>
        <w:t>Sak nr.:  2022/1097</w:t>
      </w:r>
    </w:p>
    <w:p w14:paraId="1DDCAC3C" w14:textId="77777777" w:rsidR="00573B90" w:rsidRPr="00573B90" w:rsidRDefault="00573B90" w:rsidP="00573B90">
      <w:pPr>
        <w:keepNext/>
        <w:keepLines/>
        <w:spacing w:after="0"/>
        <w:outlineLvl w:val="0"/>
        <w:rPr>
          <w:rFonts w:ascii="Calibri" w:eastAsiaTheme="majorEastAsia" w:hAnsi="Calibri" w:cstheme="majorBidi"/>
          <w:b/>
          <w:sz w:val="28"/>
          <w:szCs w:val="32"/>
          <w:lang w:val="nn-NO"/>
        </w:rPr>
      </w:pPr>
      <w:r w:rsidRPr="00573B90">
        <w:rPr>
          <w:rFonts w:ascii="Calibri" w:eastAsiaTheme="majorEastAsia" w:hAnsi="Calibri" w:cstheme="majorBidi"/>
          <w:b/>
          <w:sz w:val="28"/>
          <w:szCs w:val="32"/>
          <w:lang w:val="nn-NO"/>
        </w:rPr>
        <w:t>Håkonsgaten 1 – delentreprise  K401 Elektro og IKT</w:t>
      </w:r>
    </w:p>
    <w:p w14:paraId="53551963" w14:textId="35C8372A" w:rsidR="00D07EA1" w:rsidRDefault="00573B90" w:rsidP="00573B90">
      <w:pPr>
        <w:keepNext/>
        <w:keepLines/>
        <w:spacing w:after="0"/>
        <w:outlineLvl w:val="0"/>
        <w:rPr>
          <w:rFonts w:asciiTheme="majorHAnsi" w:eastAsiaTheme="majorEastAsia" w:hAnsiTheme="majorHAnsi" w:cstheme="majorBidi"/>
          <w:b/>
          <w:color w:val="003283" w:themeColor="text2"/>
          <w:spacing w:val="-10"/>
          <w:kern w:val="28"/>
          <w:sz w:val="56"/>
          <w:szCs w:val="56"/>
        </w:rPr>
      </w:pPr>
      <w:r w:rsidRPr="00573B90">
        <w:rPr>
          <w:rFonts w:ascii="Calibri" w:eastAsiaTheme="majorEastAsia" w:hAnsi="Calibri" w:cstheme="majorBidi"/>
          <w:b/>
          <w:sz w:val="28"/>
          <w:szCs w:val="32"/>
          <w:lang w:val="nn-NO"/>
        </w:rPr>
        <w:t xml:space="preserve">Helse Bergen HF </w:t>
      </w:r>
      <w:bookmarkStart w:id="0" w:name="_GoBack"/>
      <w:bookmarkEnd w:id="0"/>
      <w:r w:rsidR="00A20EB1">
        <w:rPr>
          <w:noProof/>
          <w:lang w:eastAsia="nb-NO"/>
        </w:rPr>
        <w:drawing>
          <wp:inline distT="0" distB="0" distL="0" distR="0" wp14:anchorId="1CDA5A2E" wp14:editId="66A703EB">
            <wp:extent cx="5731510" cy="3830320"/>
            <wp:effectExtent l="0" t="0" r="2540" b="0"/>
            <wp:docPr id="3" name="Bilde 3" descr="Bergen kommue, Nyheter | – Vi ble ført bak lyset om konsekvensene for  helsestasjonene"/>
            <wp:cNvGraphicFramePr/>
            <a:graphic xmlns:a="http://schemas.openxmlformats.org/drawingml/2006/main">
              <a:graphicData uri="http://schemas.openxmlformats.org/drawingml/2006/picture">
                <pic:pic xmlns:pic="http://schemas.openxmlformats.org/drawingml/2006/picture">
                  <pic:nvPicPr>
                    <pic:cNvPr id="3" name="Bilde 3" descr="Bergen kommue, Nyheter | – Vi ble ført bak lyset om konsekvensene for  helsestasjonen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30320"/>
                    </a:xfrm>
                    <a:prstGeom prst="rect">
                      <a:avLst/>
                    </a:prstGeom>
                    <a:noFill/>
                    <a:ln>
                      <a:noFill/>
                    </a:ln>
                  </pic:spPr>
                </pic:pic>
              </a:graphicData>
            </a:graphic>
          </wp:inline>
        </w:drawing>
      </w:r>
      <w:r w:rsidR="00D07EA1">
        <w:rPr>
          <w:b/>
        </w:rPr>
        <w:br w:type="page"/>
      </w:r>
    </w:p>
    <w:p w14:paraId="26043197" w14:textId="4D085296" w:rsidR="0086704C" w:rsidRPr="00D07EA1" w:rsidRDefault="0086704C" w:rsidP="00D07EA1">
      <w:pPr>
        <w:rPr>
          <w:b/>
          <w:sz w:val="32"/>
        </w:rPr>
      </w:pPr>
      <w:r w:rsidRPr="00D07EA1">
        <w:rPr>
          <w:b/>
          <w:sz w:val="32"/>
        </w:rPr>
        <w:lastRenderedPageBreak/>
        <w:t xml:space="preserve">Vedlegg </w:t>
      </w:r>
      <w:r w:rsidR="009B0624" w:rsidRPr="00D07EA1">
        <w:rPr>
          <w:b/>
          <w:sz w:val="32"/>
        </w:rPr>
        <w:t>3</w:t>
      </w:r>
      <w:r w:rsidRPr="00D07EA1">
        <w:rPr>
          <w:b/>
          <w:sz w:val="32"/>
        </w:rP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 xml:space="preserve">Det følger av forskrift til lov om offentlige anskaffelser av 12. august 2016 (FOA.) § 7-3 at offentleglova gjelder for allmennhetens innsyn i tilbud og anskaffelsesprotokoller. </w:t>
      </w:r>
      <w:r w:rsidRPr="00D07EA1">
        <w:rPr>
          <w:lang w:val="nn-NO"/>
        </w:rPr>
        <w:t xml:space="preserve">Lov om rett til innsyn i dokument i offentleg verksemd av 19.mai 2006 nr. 16 (offl.) har som formål å styrke retten til innsyn i saksdokumenter i forvaltningen. </w:t>
      </w:r>
      <w:r>
        <w:t>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D07EA1">
        <w:rPr>
          <w:i/>
          <w:iCs/>
          <w:lang w:val="nn-NO"/>
        </w:rPr>
        <w:t>Offl</w:t>
      </w:r>
      <w:r w:rsidRPr="00D07EA1">
        <w:rPr>
          <w:lang w:val="nn-NO"/>
        </w:rPr>
        <w:t>. § 13 slår fast at «</w:t>
      </w:r>
      <w:r w:rsidRPr="00D07EA1">
        <w:rPr>
          <w:i/>
          <w:iCs/>
          <w:lang w:val="nn-NO"/>
        </w:rPr>
        <w:t>Opplysningar som er underlagde teieplikt i lov eller i medhald av lov, er unnatekne frå innsyn</w:t>
      </w:r>
      <w:r w:rsidRPr="00D07EA1">
        <w:rPr>
          <w:lang w:val="nn-NO"/>
        </w:rPr>
        <w:t>». Videre fremgår det av offl . § 23, 3 ledd at «</w:t>
      </w:r>
      <w:r w:rsidRPr="00D07EA1">
        <w:rPr>
          <w:i/>
          <w:iCs/>
          <w:lang w:val="nn-NO"/>
        </w:rPr>
        <w:t>Det kan gjerast unntak frå innsyn for tilbod og protokoll etter regelverk som er gitt i medhald av anskaffelsesloven, til valet av leverandør er gjort</w:t>
      </w:r>
      <w:r w:rsidRPr="00D07EA1">
        <w:rPr>
          <w:lang w:val="nn-NO"/>
        </w:rPr>
        <w:t xml:space="preserve">». </w:t>
      </w:r>
      <w:r>
        <w:t>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lastRenderedPageBreak/>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lastRenderedPageBreak/>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573B90"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069DB7FD" w:rsidR="0086704C" w:rsidRPr="0086704C" w:rsidRDefault="0086704C" w:rsidP="009B0624">
          <w:pPr>
            <w:pStyle w:val="Bunntekst"/>
            <w:rPr>
              <w:color w:val="003283" w:themeColor="text2"/>
              <w:lang w:val="nb-NO"/>
            </w:rPr>
          </w:pPr>
          <w:r w:rsidRPr="0086704C">
            <w:rPr>
              <w:color w:val="003283" w:themeColor="text2"/>
              <w:lang w:val="nb-NO"/>
            </w:rPr>
            <w:t xml:space="preserve">Vedlegg </w:t>
          </w:r>
          <w:r w:rsidR="009B0624">
            <w:rPr>
              <w:color w:val="003283" w:themeColor="text2"/>
              <w:lang w:val="nb-NO"/>
            </w:rPr>
            <w:t>3</w:t>
          </w:r>
          <w:r w:rsidRPr="0086704C">
            <w:rPr>
              <w:color w:val="003283" w:themeColor="text2"/>
              <w:lang w:val="nb-NO"/>
            </w:rPr>
            <w:t xml:space="preserve"> – Bruksanvisning og begr</w:t>
          </w:r>
          <w:r w:rsidR="009B0624">
            <w:rPr>
              <w:color w:val="003283" w:themeColor="text2"/>
              <w:lang w:val="nb-NO"/>
            </w:rPr>
            <w:t>unnelse for sladding av tilbud</w:t>
          </w:r>
        </w:p>
      </w:tc>
      <w:tc>
        <w:tcPr>
          <w:tcW w:w="3685" w:type="dxa"/>
        </w:tcPr>
        <w:p w14:paraId="3BB0C565" w14:textId="68DC840E"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573B90">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573B90">
            <w:rPr>
              <w:b/>
              <w:bCs/>
              <w:i/>
              <w:iCs/>
              <w:noProof/>
              <w:color w:val="003283" w:themeColor="text2"/>
              <w:sz w:val="18"/>
              <w:szCs w:val="18"/>
            </w:rPr>
            <w:t>4</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573B90"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2099FD1B" w:rsidR="0086704C" w:rsidRPr="0086704C" w:rsidRDefault="0086704C" w:rsidP="009B0624">
          <w:pPr>
            <w:pStyle w:val="Bunntekst"/>
            <w:rPr>
              <w:color w:val="003283" w:themeColor="text2"/>
              <w:lang w:val="nb-NO"/>
            </w:rPr>
          </w:pPr>
          <w:r w:rsidRPr="0086704C">
            <w:rPr>
              <w:color w:val="003283" w:themeColor="text2"/>
              <w:lang w:val="nb-NO"/>
            </w:rPr>
            <w:t xml:space="preserve">Vedlegg </w:t>
          </w:r>
          <w:r w:rsidR="009B0624">
            <w:rPr>
              <w:color w:val="003283" w:themeColor="text2"/>
              <w:lang w:val="nb-NO"/>
            </w:rPr>
            <w:t>3</w:t>
          </w:r>
          <w:r w:rsidRPr="0086704C">
            <w:rPr>
              <w:color w:val="003283" w:themeColor="text2"/>
              <w:lang w:val="nb-NO"/>
            </w:rPr>
            <w:t xml:space="preserve"> – Bruksanvisning og begrunnelse for sladding av tilbud</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F2CF" w14:textId="77777777" w:rsidR="00573B90" w:rsidRPr="00573B90" w:rsidRDefault="00573B90" w:rsidP="00573B90">
    <w:pPr>
      <w:pStyle w:val="Topptekst"/>
      <w:jc w:val="right"/>
      <w:rPr>
        <w:lang w:val="nn-NO"/>
      </w:rPr>
    </w:pPr>
    <w:r w:rsidRPr="00573B90">
      <w:rPr>
        <w:lang w:val="nn-NO"/>
      </w:rPr>
      <w:t>Sak nr.:  2022/1097</w:t>
    </w:r>
  </w:p>
  <w:p w14:paraId="4C7CCDD5" w14:textId="77777777" w:rsidR="00573B90" w:rsidRPr="00573B90" w:rsidRDefault="00573B90" w:rsidP="00573B90">
    <w:pPr>
      <w:pStyle w:val="Topptekst"/>
      <w:jc w:val="right"/>
      <w:rPr>
        <w:lang w:val="nn-NO"/>
      </w:rPr>
    </w:pPr>
    <w:r w:rsidRPr="00573B90">
      <w:rPr>
        <w:lang w:val="nn-NO"/>
      </w:rPr>
      <w:t>Håkonsgaten 1 – delentreprise  K401 Elektro og IKT</w:t>
    </w:r>
  </w:p>
  <w:p w14:paraId="023D45BB" w14:textId="6AF14E07" w:rsidR="00253443" w:rsidRDefault="00573B90" w:rsidP="00573B90">
    <w:pPr>
      <w:pStyle w:val="Topptekst"/>
      <w:jc w:val="right"/>
    </w:pPr>
    <w:r w:rsidRPr="00573B90">
      <w:rPr>
        <w:lang w:val="nn-NO"/>
      </w:rPr>
      <w:t xml:space="preserve">Helse Bergen HF </w:t>
    </w:r>
    <w:r w:rsidR="00253443">
      <w:rPr>
        <w:noProof/>
        <w:lang w:eastAsia="nb-NO"/>
      </w:rPr>
      <w:drawing>
        <wp:anchor distT="0" distB="0" distL="114300" distR="114300" simplePos="0" relativeHeight="251666432" behindDoc="0" locked="0" layoutInCell="1" allowOverlap="1" wp14:anchorId="03A8CF5C" wp14:editId="7E27A748">
          <wp:simplePos x="0" y="0"/>
          <wp:positionH relativeFrom="page">
            <wp:posOffset>304800</wp:posOffset>
          </wp:positionH>
          <wp:positionV relativeFrom="page">
            <wp:posOffset>292100</wp:posOffset>
          </wp:positionV>
          <wp:extent cx="2026920" cy="35941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29D85125" w14:textId="69B14DAB" w:rsidR="002D7059" w:rsidRPr="00253443" w:rsidRDefault="002D7059" w:rsidP="002534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9E3" w14:textId="77777777" w:rsidR="00573B90" w:rsidRPr="00573B90" w:rsidRDefault="00573B90" w:rsidP="00573B90">
    <w:pPr>
      <w:pStyle w:val="Topptekst"/>
      <w:jc w:val="right"/>
      <w:rPr>
        <w:lang w:val="nn-NO"/>
      </w:rPr>
    </w:pPr>
    <w:r w:rsidRPr="00573B90">
      <w:rPr>
        <w:lang w:val="nn-NO"/>
      </w:rPr>
      <w:t>Sak nr.:  2022/1097</w:t>
    </w:r>
  </w:p>
  <w:p w14:paraId="1D991179" w14:textId="77777777" w:rsidR="00573B90" w:rsidRPr="00573B90" w:rsidRDefault="00573B90" w:rsidP="00573B90">
    <w:pPr>
      <w:pStyle w:val="Topptekst"/>
      <w:jc w:val="right"/>
      <w:rPr>
        <w:lang w:val="nn-NO"/>
      </w:rPr>
    </w:pPr>
    <w:r w:rsidRPr="00573B90">
      <w:rPr>
        <w:lang w:val="nn-NO"/>
      </w:rPr>
      <w:t>Håkonsgaten 1 – delentreprise  K401 Elektro og IKT</w:t>
    </w:r>
  </w:p>
  <w:p w14:paraId="64D7EA3A" w14:textId="144017CA" w:rsidR="00253443" w:rsidRDefault="00573B90" w:rsidP="00573B90">
    <w:pPr>
      <w:pStyle w:val="Topptekst"/>
      <w:jc w:val="right"/>
    </w:pPr>
    <w:r w:rsidRPr="00573B90">
      <w:rPr>
        <w:lang w:val="nn-NO"/>
      </w:rPr>
      <w:t xml:space="preserve">Helse Bergen HF </w:t>
    </w:r>
    <w:r w:rsidR="00253443">
      <w:t xml:space="preserve">  </w:t>
    </w:r>
    <w:r w:rsidR="00253443">
      <w:rPr>
        <w:noProof/>
        <w:lang w:eastAsia="nb-NO"/>
      </w:rPr>
      <w:drawing>
        <wp:anchor distT="0" distB="0" distL="114300" distR="114300" simplePos="0" relativeHeight="251664384" behindDoc="0" locked="0" layoutInCell="1" allowOverlap="1" wp14:anchorId="4A419719" wp14:editId="514E86BA">
          <wp:simplePos x="0" y="0"/>
          <wp:positionH relativeFrom="page">
            <wp:posOffset>304800</wp:posOffset>
          </wp:positionH>
          <wp:positionV relativeFrom="page">
            <wp:posOffset>292100</wp:posOffset>
          </wp:positionV>
          <wp:extent cx="2026920" cy="35941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254C1DB5" w14:textId="2461F4AA" w:rsidR="00357D49" w:rsidRPr="00253443" w:rsidRDefault="00357D49" w:rsidP="002534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389B5B77"/>
    <w:multiLevelType w:val="multilevel"/>
    <w:tmpl w:val="2A02D1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53443"/>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73B90"/>
    <w:rsid w:val="005C26CE"/>
    <w:rsid w:val="005C7D79"/>
    <w:rsid w:val="005D7BE2"/>
    <w:rsid w:val="006318C2"/>
    <w:rsid w:val="00645430"/>
    <w:rsid w:val="006653AB"/>
    <w:rsid w:val="00696054"/>
    <w:rsid w:val="006D0387"/>
    <w:rsid w:val="00712860"/>
    <w:rsid w:val="007766B9"/>
    <w:rsid w:val="007C3FC6"/>
    <w:rsid w:val="007C7310"/>
    <w:rsid w:val="007C73BB"/>
    <w:rsid w:val="007E6F37"/>
    <w:rsid w:val="00822F28"/>
    <w:rsid w:val="00830298"/>
    <w:rsid w:val="008319F5"/>
    <w:rsid w:val="00864F3F"/>
    <w:rsid w:val="0086704C"/>
    <w:rsid w:val="008709F5"/>
    <w:rsid w:val="008B78E3"/>
    <w:rsid w:val="008D64B5"/>
    <w:rsid w:val="009010AB"/>
    <w:rsid w:val="00914CD6"/>
    <w:rsid w:val="009357AA"/>
    <w:rsid w:val="009917EC"/>
    <w:rsid w:val="009A364C"/>
    <w:rsid w:val="009B0624"/>
    <w:rsid w:val="009F4074"/>
    <w:rsid w:val="009F76D4"/>
    <w:rsid w:val="00A0412B"/>
    <w:rsid w:val="00A15D52"/>
    <w:rsid w:val="00A20EB1"/>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D07EA1"/>
    <w:rsid w:val="00D427B1"/>
    <w:rsid w:val="00D85E23"/>
    <w:rsid w:val="00DA11A8"/>
    <w:rsid w:val="00DC6F96"/>
    <w:rsid w:val="00DE6621"/>
    <w:rsid w:val="00E71FCB"/>
    <w:rsid w:val="00E73E3F"/>
    <w:rsid w:val="00EA44C3"/>
    <w:rsid w:val="00EE7C5C"/>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BF374FF0B0FB49814F1970518D2D00" ma:contentTypeVersion="0" ma:contentTypeDescription="Opprett et nytt dokument." ma:contentTypeScope="" ma:versionID="5ad91a750265cf86a8ae993e67c3220c">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2CE66A6D-D4EA-4B05-A39A-A35A3397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17</TotalTime>
  <Pages>4</Pages>
  <Words>1218</Words>
  <Characters>6460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Thorn, Thomas Harborg</cp:lastModifiedBy>
  <cp:revision>9</cp:revision>
  <dcterms:created xsi:type="dcterms:W3CDTF">2021-04-28T13:03:00Z</dcterms:created>
  <dcterms:modified xsi:type="dcterms:W3CDTF">2022-07-05T09:25:00Z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0x010100BCBF374FF0B0FB49814F1970518D2D00</vt:lpwstr>
  </property>
</Properties>
</file>