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AE2C" w14:textId="34F0CB44" w:rsidR="00F31F23" w:rsidRPr="00697E87" w:rsidRDefault="00697E87">
      <w:pPr>
        <w:rPr>
          <w:rFonts w:ascii="Arial" w:hAnsi="Arial" w:cs="Arial"/>
          <w:sz w:val="32"/>
          <w:szCs w:val="32"/>
        </w:rPr>
      </w:pPr>
      <w:r w:rsidRPr="00697E87">
        <w:rPr>
          <w:rFonts w:ascii="Arial" w:hAnsi="Arial" w:cs="Arial"/>
          <w:sz w:val="32"/>
          <w:szCs w:val="32"/>
        </w:rPr>
        <w:t>Vedlegg 9</w:t>
      </w:r>
    </w:p>
    <w:p w14:paraId="39148082" w14:textId="77777777" w:rsidR="00697E87" w:rsidRPr="00697E87" w:rsidRDefault="00697E87">
      <w:pPr>
        <w:rPr>
          <w:rFonts w:ascii="Arial" w:hAnsi="Arial" w:cs="Arial"/>
          <w:sz w:val="36"/>
          <w:szCs w:val="36"/>
        </w:rPr>
      </w:pPr>
    </w:p>
    <w:p w14:paraId="5C2F8581" w14:textId="77777777" w:rsidR="00F31F23" w:rsidRDefault="00B73567">
      <w:pPr>
        <w:rPr>
          <w:rFonts w:ascii="Arial" w:hAnsi="Arial" w:cs="Arial"/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345F441" wp14:editId="2DB8208E">
            <wp:simplePos x="0" y="0"/>
            <wp:positionH relativeFrom="column">
              <wp:posOffset>586740</wp:posOffset>
            </wp:positionH>
            <wp:positionV relativeFrom="paragraph">
              <wp:posOffset>8255</wp:posOffset>
            </wp:positionV>
            <wp:extent cx="4573905" cy="476885"/>
            <wp:effectExtent l="0" t="0" r="0" b="0"/>
            <wp:wrapThrough wrapText="bothSides">
              <wp:wrapPolygon edited="0">
                <wp:start x="720" y="0"/>
                <wp:lineTo x="0" y="7766"/>
                <wp:lineTo x="0" y="13806"/>
                <wp:lineTo x="630" y="16394"/>
                <wp:lineTo x="720" y="20708"/>
                <wp:lineTo x="20961" y="20708"/>
                <wp:lineTo x="21501" y="16394"/>
                <wp:lineTo x="21501" y="0"/>
                <wp:lineTo x="720" y="0"/>
              </wp:wrapPolygon>
            </wp:wrapThrough>
            <wp:docPr id="3" name="Bilde 3" descr="http://www.nordlandssykehuset.no/profilhandbok/img/logovaria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dlandssykehuset.no/profilhandbok/img/logovariant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968F" w14:textId="77777777" w:rsidR="00F31F23" w:rsidRDefault="00F31F23">
      <w:pPr>
        <w:rPr>
          <w:rFonts w:ascii="Arial" w:hAnsi="Arial" w:cs="Arial"/>
          <w:sz w:val="44"/>
          <w:szCs w:val="44"/>
        </w:rPr>
      </w:pPr>
    </w:p>
    <w:p w14:paraId="7199A69E" w14:textId="62CA2BC6" w:rsidR="00F31F23" w:rsidRDefault="00F31F23" w:rsidP="00B73567">
      <w:pPr>
        <w:jc w:val="center"/>
        <w:rPr>
          <w:rFonts w:ascii="Arial" w:hAnsi="Arial" w:cs="Arial"/>
          <w:sz w:val="44"/>
          <w:szCs w:val="44"/>
        </w:rPr>
      </w:pPr>
    </w:p>
    <w:p w14:paraId="5FE0E81C" w14:textId="77777777" w:rsidR="0079302D" w:rsidRPr="00FD3072" w:rsidRDefault="0079302D" w:rsidP="00B7356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D3072">
        <w:rPr>
          <w:rFonts w:ascii="Arial" w:hAnsi="Arial" w:cs="Arial"/>
          <w:b/>
          <w:bCs/>
          <w:sz w:val="44"/>
          <w:szCs w:val="44"/>
        </w:rPr>
        <w:t>Skattefogdgården rehabiliteringsarbeider</w:t>
      </w:r>
    </w:p>
    <w:p w14:paraId="523553EF" w14:textId="501B4212" w:rsidR="00C104BE" w:rsidRDefault="00FD3072" w:rsidP="00B7356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Biskop Kroghs gate 15</w:t>
      </w:r>
      <w:r>
        <w:rPr>
          <w:rFonts w:ascii="Arial" w:hAnsi="Arial" w:cs="Arial"/>
          <w:sz w:val="44"/>
          <w:szCs w:val="44"/>
        </w:rPr>
        <w:t>,</w:t>
      </w:r>
    </w:p>
    <w:p w14:paraId="71DB33C0" w14:textId="77777777" w:rsidR="00FD3072" w:rsidRDefault="00FD3072" w:rsidP="00FD307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NLSH Bodø</w:t>
      </w:r>
    </w:p>
    <w:p w14:paraId="40C29836" w14:textId="77777777" w:rsidR="00FD3072" w:rsidRDefault="00FD3072" w:rsidP="00B73567">
      <w:pPr>
        <w:jc w:val="center"/>
        <w:rPr>
          <w:rFonts w:ascii="Arial" w:hAnsi="Arial" w:cs="Arial"/>
          <w:sz w:val="44"/>
          <w:szCs w:val="44"/>
        </w:rPr>
      </w:pPr>
    </w:p>
    <w:p w14:paraId="62E1E8E4" w14:textId="77777777" w:rsidR="00F31F23" w:rsidRDefault="00F31F23" w:rsidP="00F31F23">
      <w:pPr>
        <w:jc w:val="center"/>
        <w:rPr>
          <w:rFonts w:ascii="Arial" w:hAnsi="Arial" w:cs="Arial"/>
          <w:sz w:val="44"/>
          <w:szCs w:val="44"/>
        </w:rPr>
      </w:pPr>
    </w:p>
    <w:p w14:paraId="7A06E774" w14:textId="2B3838D9" w:rsidR="00DD23D5" w:rsidRPr="00B73567" w:rsidRDefault="00DD23D5" w:rsidP="00F31F23">
      <w:pPr>
        <w:jc w:val="center"/>
        <w:rPr>
          <w:rFonts w:ascii="Arial" w:hAnsi="Arial" w:cs="Arial"/>
          <w:b/>
          <w:sz w:val="40"/>
          <w:szCs w:val="44"/>
        </w:rPr>
      </w:pPr>
      <w:r w:rsidRPr="00B73567">
        <w:rPr>
          <w:rFonts w:ascii="Arial" w:hAnsi="Arial" w:cs="Arial"/>
          <w:b/>
          <w:sz w:val="40"/>
          <w:szCs w:val="44"/>
        </w:rPr>
        <w:t xml:space="preserve">Bok 0 </w:t>
      </w:r>
    </w:p>
    <w:p w14:paraId="75EA42C6" w14:textId="77777777" w:rsidR="00F31F23" w:rsidRDefault="00F31F23" w:rsidP="00F31F23">
      <w:pPr>
        <w:jc w:val="center"/>
        <w:rPr>
          <w:rFonts w:ascii="Arial" w:hAnsi="Arial" w:cs="Arial"/>
          <w:b/>
          <w:sz w:val="40"/>
          <w:szCs w:val="44"/>
        </w:rPr>
      </w:pPr>
      <w:r w:rsidRPr="00B73567">
        <w:rPr>
          <w:rFonts w:ascii="Arial" w:hAnsi="Arial" w:cs="Arial"/>
          <w:b/>
          <w:sz w:val="40"/>
          <w:szCs w:val="44"/>
        </w:rPr>
        <w:t>Generelle bestemmelser</w:t>
      </w:r>
    </w:p>
    <w:p w14:paraId="3710AD07" w14:textId="77777777" w:rsidR="00B73567" w:rsidRDefault="00B73567" w:rsidP="00F31F23">
      <w:pPr>
        <w:jc w:val="center"/>
        <w:rPr>
          <w:rFonts w:ascii="Arial" w:hAnsi="Arial" w:cs="Arial"/>
          <w:b/>
          <w:sz w:val="40"/>
          <w:szCs w:val="44"/>
        </w:rPr>
      </w:pPr>
    </w:p>
    <w:p w14:paraId="15CAAC34" w14:textId="77777777" w:rsidR="00B73567" w:rsidRDefault="00B73567" w:rsidP="00F31F23">
      <w:pPr>
        <w:jc w:val="center"/>
        <w:rPr>
          <w:rFonts w:ascii="Arial" w:hAnsi="Arial" w:cs="Arial"/>
          <w:b/>
          <w:sz w:val="40"/>
          <w:szCs w:val="44"/>
        </w:rPr>
      </w:pPr>
    </w:p>
    <w:p w14:paraId="0F0446D0" w14:textId="77777777" w:rsidR="00C104BE" w:rsidRDefault="00C104BE" w:rsidP="00697E87">
      <w:pPr>
        <w:rPr>
          <w:rFonts w:ascii="Arial" w:hAnsi="Arial" w:cs="Arial"/>
          <w:b/>
          <w:sz w:val="40"/>
          <w:szCs w:val="44"/>
        </w:rPr>
      </w:pPr>
    </w:p>
    <w:p w14:paraId="321D549B" w14:textId="77777777" w:rsidR="00B73567" w:rsidRPr="00B73567" w:rsidRDefault="00B73567" w:rsidP="00F31F23">
      <w:pPr>
        <w:jc w:val="center"/>
        <w:rPr>
          <w:rFonts w:ascii="Arial" w:hAnsi="Arial" w:cs="Arial"/>
          <w:b/>
          <w:sz w:val="40"/>
          <w:szCs w:val="44"/>
        </w:rPr>
      </w:pPr>
    </w:p>
    <w:p w14:paraId="2A439D3F" w14:textId="77777777" w:rsidR="001C73B2" w:rsidRDefault="001C73B2">
      <w:pPr>
        <w:rPr>
          <w:rFonts w:ascii="Arial" w:hAnsi="Arial" w:cs="Arial"/>
          <w:sz w:val="44"/>
          <w:szCs w:val="44"/>
        </w:rPr>
      </w:pPr>
    </w:p>
    <w:p w14:paraId="7EF432AE" w14:textId="77777777" w:rsidR="001C73B2" w:rsidRDefault="001C73B2">
      <w:pPr>
        <w:rPr>
          <w:rFonts w:ascii="Arial" w:hAnsi="Arial" w:cs="Arial"/>
          <w:sz w:val="24"/>
          <w:szCs w:val="44"/>
        </w:rPr>
      </w:pPr>
      <w:r w:rsidRPr="001C73B2">
        <w:rPr>
          <w:rFonts w:ascii="Arial" w:hAnsi="Arial" w:cs="Arial"/>
          <w:sz w:val="24"/>
          <w:szCs w:val="44"/>
        </w:rPr>
        <w:t>RIB</w:t>
      </w:r>
      <w:r w:rsidRPr="001C73B2">
        <w:rPr>
          <w:rFonts w:ascii="Arial" w:hAnsi="Arial" w:cs="Arial"/>
          <w:sz w:val="24"/>
          <w:szCs w:val="44"/>
        </w:rPr>
        <w:tab/>
      </w:r>
      <w:r w:rsidRPr="001C73B2">
        <w:rPr>
          <w:rFonts w:ascii="Arial" w:hAnsi="Arial" w:cs="Arial"/>
          <w:sz w:val="24"/>
          <w:szCs w:val="44"/>
        </w:rPr>
        <w:tab/>
        <w:t>: Rambøll AS</w:t>
      </w:r>
    </w:p>
    <w:p w14:paraId="79493146" w14:textId="77777777" w:rsidR="001C73B2" w:rsidRPr="001C73B2" w:rsidRDefault="001C73B2" w:rsidP="00FD3072">
      <w:pPr>
        <w:spacing w:line="240" w:lineRule="auto"/>
        <w:rPr>
          <w:rFonts w:ascii="Arial" w:hAnsi="Arial" w:cs="Arial"/>
          <w:sz w:val="24"/>
          <w:szCs w:val="4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79556947"/>
        <w:docPartObj>
          <w:docPartGallery w:val="Table of Contents"/>
          <w:docPartUnique/>
        </w:docPartObj>
      </w:sdtPr>
      <w:sdtEndPr/>
      <w:sdtContent>
        <w:p w14:paraId="07F43236" w14:textId="77777777" w:rsidR="00B37A23" w:rsidRDefault="00B37A23" w:rsidP="00FD3072">
          <w:pPr>
            <w:pStyle w:val="Overskriftforinnholdsfortegnelse"/>
            <w:spacing w:before="0" w:after="40" w:line="240" w:lineRule="auto"/>
          </w:pPr>
          <w:r>
            <w:t>Innhold</w:t>
          </w:r>
        </w:p>
        <w:p w14:paraId="697707C7" w14:textId="70338ADD" w:rsidR="00FD3072" w:rsidRDefault="00B37A23" w:rsidP="00FD3072">
          <w:pPr>
            <w:pStyle w:val="INNH1"/>
            <w:tabs>
              <w:tab w:val="left" w:pos="44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935312" w:history="1">
            <w:r w:rsidR="00FD3072" w:rsidRPr="00EA202A">
              <w:rPr>
                <w:rStyle w:val="Hyperkobling"/>
                <w:noProof/>
              </w:rPr>
              <w:t>1.</w:t>
            </w:r>
            <w:r w:rsidR="00FD3072">
              <w:rPr>
                <w:rFonts w:eastAsiaTheme="minorEastAsia"/>
                <w:noProof/>
                <w:lang w:eastAsia="nb-NO"/>
              </w:rPr>
              <w:tab/>
            </w:r>
            <w:r w:rsidR="00FD3072" w:rsidRPr="00EA202A">
              <w:rPr>
                <w:rStyle w:val="Hyperkobling"/>
                <w:noProof/>
              </w:rPr>
              <w:t>ADRESSELISTE</w:t>
            </w:r>
            <w:r w:rsidR="00FD3072">
              <w:rPr>
                <w:noProof/>
                <w:webHidden/>
              </w:rPr>
              <w:tab/>
            </w:r>
            <w:r w:rsidR="00FD3072">
              <w:rPr>
                <w:noProof/>
                <w:webHidden/>
              </w:rPr>
              <w:fldChar w:fldCharType="begin"/>
            </w:r>
            <w:r w:rsidR="00FD3072">
              <w:rPr>
                <w:noProof/>
                <w:webHidden/>
              </w:rPr>
              <w:instrText xml:space="preserve"> PAGEREF _Toc103935312 \h </w:instrText>
            </w:r>
            <w:r w:rsidR="00FD3072">
              <w:rPr>
                <w:noProof/>
                <w:webHidden/>
              </w:rPr>
            </w:r>
            <w:r w:rsidR="00FD3072">
              <w:rPr>
                <w:noProof/>
                <w:webHidden/>
              </w:rPr>
              <w:fldChar w:fldCharType="separate"/>
            </w:r>
            <w:r w:rsidR="00FD3072">
              <w:rPr>
                <w:noProof/>
                <w:webHidden/>
              </w:rPr>
              <w:t>4</w:t>
            </w:r>
            <w:r w:rsidR="00FD3072">
              <w:rPr>
                <w:noProof/>
                <w:webHidden/>
              </w:rPr>
              <w:fldChar w:fldCharType="end"/>
            </w:r>
          </w:hyperlink>
        </w:p>
        <w:p w14:paraId="167259AD" w14:textId="78430998" w:rsidR="00FD3072" w:rsidRDefault="00FD3072" w:rsidP="00FD3072">
          <w:pPr>
            <w:pStyle w:val="INNH1"/>
            <w:tabs>
              <w:tab w:val="left" w:pos="44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13" w:history="1">
            <w:r w:rsidRPr="00EA202A">
              <w:rPr>
                <w:rStyle w:val="Hyperkobling"/>
                <w:noProof/>
              </w:rPr>
              <w:t>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KONTRAKTSBESTEMMELSER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70968" w14:textId="15FC8856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14" w:history="1">
            <w:r w:rsidRPr="00EA202A">
              <w:rPr>
                <w:rStyle w:val="Hyperkobling"/>
                <w:noProof/>
              </w:rPr>
              <w:t>2.1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Generelt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0A02B" w14:textId="069660DF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15" w:history="1">
            <w:r w:rsidRPr="00EA202A">
              <w:rPr>
                <w:rStyle w:val="Hyperkobling"/>
                <w:noProof/>
              </w:rPr>
              <w:t>2.2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Endringer og tillegg til NS 8406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D4CBC" w14:textId="5E824CCE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16" w:history="1">
            <w:r w:rsidRPr="00EA202A">
              <w:rPr>
                <w:rStyle w:val="Hyperkobling"/>
                <w:noProof/>
              </w:rPr>
              <w:t>2.3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Underentreprenører – Kontraktvirksomhet/Anti-kontraktørklausul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5D48F" w14:textId="282E1369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17" w:history="1">
            <w:r w:rsidRPr="00EA202A">
              <w:rPr>
                <w:rStyle w:val="Hyperkobling"/>
                <w:rFonts w:eastAsia="Trebuchet MS"/>
                <w:noProof/>
              </w:rPr>
              <w:t>2.4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rFonts w:eastAsia="Trebuchet MS"/>
                <w:noProof/>
              </w:rPr>
              <w:t>Regulering av kapitel «Rigg- og Drift»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8735B" w14:textId="4370AEFC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18" w:history="1">
            <w:r w:rsidRPr="00EA202A">
              <w:rPr>
                <w:rStyle w:val="Hyperkobling"/>
                <w:rFonts w:eastAsia="Trebuchet MS"/>
                <w:noProof/>
              </w:rPr>
              <w:t>2.5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rFonts w:eastAsia="Trebuchet MS"/>
                <w:noProof/>
              </w:rPr>
              <w:t>Oppmåling av mengder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E11D9" w14:textId="774B76FC" w:rsidR="00FD3072" w:rsidRDefault="00FD3072" w:rsidP="00FD3072">
          <w:pPr>
            <w:pStyle w:val="INNH1"/>
            <w:tabs>
              <w:tab w:val="left" w:pos="44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19" w:history="1">
            <w:r w:rsidRPr="00EA202A">
              <w:rPr>
                <w:rStyle w:val="Hyperkobling"/>
                <w:noProof/>
              </w:rPr>
              <w:t>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FRAMDRIFTSPLAN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F769F" w14:textId="6CDE28BB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0" w:history="1">
            <w:r w:rsidRPr="00EA202A">
              <w:rPr>
                <w:rStyle w:val="Hyperkobling"/>
                <w:noProof/>
              </w:rPr>
              <w:t>3.1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Krav til framdriftsplan, framdriftsplan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66701" w14:textId="42A6E2A0" w:rsidR="00FD3072" w:rsidRDefault="00FD3072" w:rsidP="00FD3072">
          <w:pPr>
            <w:pStyle w:val="INNH1"/>
            <w:tabs>
              <w:tab w:val="left" w:pos="44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1" w:history="1">
            <w:r w:rsidRPr="00EA202A">
              <w:rPr>
                <w:rStyle w:val="Hyperkobling"/>
                <w:noProof/>
              </w:rPr>
              <w:t>4.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Felles forhold og bestemmelser for byggeplassen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A33CB" w14:textId="34452638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2" w:history="1">
            <w:r w:rsidRPr="00EA202A">
              <w:rPr>
                <w:rStyle w:val="Hyperkobling"/>
                <w:noProof/>
              </w:rPr>
              <w:t>4.1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Driftsforhold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1CB33" w14:textId="600811F6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3" w:history="1">
            <w:r w:rsidRPr="00EA202A">
              <w:rPr>
                <w:rStyle w:val="Hyperkobling"/>
                <w:noProof/>
              </w:rPr>
              <w:t>4.2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Varsling/begrensninger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D460F" w14:textId="5B4D2EC7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4" w:history="1">
            <w:r w:rsidRPr="00EA202A">
              <w:rPr>
                <w:rStyle w:val="Hyperkobling"/>
                <w:rFonts w:eastAsia="Trebuchet MS"/>
                <w:noProof/>
              </w:rPr>
              <w:t>4.3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rFonts w:eastAsia="Trebuchet MS"/>
                <w:noProof/>
              </w:rPr>
              <w:t>Rigg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581D2" w14:textId="5EAD26AB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5" w:history="1">
            <w:r w:rsidRPr="00EA202A">
              <w:rPr>
                <w:rStyle w:val="Hyperkobling"/>
                <w:noProof/>
              </w:rPr>
              <w:t>4.3.1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Riggområde/adkomst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21CFF" w14:textId="35973A21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6" w:history="1">
            <w:r w:rsidRPr="00EA202A">
              <w:rPr>
                <w:rStyle w:val="Hyperkobling"/>
                <w:noProof/>
              </w:rPr>
              <w:t>4.3.2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Sikring/inngjerding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F35F5" w14:textId="5A5BA90E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7" w:history="1">
            <w:r w:rsidRPr="00EA202A">
              <w:rPr>
                <w:rStyle w:val="Hyperkobling"/>
                <w:noProof/>
              </w:rPr>
              <w:t>4.3.3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Snørydding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5D13F" w14:textId="120D5E3E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8" w:history="1">
            <w:r w:rsidRPr="00EA202A">
              <w:rPr>
                <w:rStyle w:val="Hyperkobling"/>
                <w:noProof/>
              </w:rPr>
              <w:t>4.4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Helse, miljø og 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91E2E" w14:textId="632ADC90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29" w:history="1">
            <w:r w:rsidRPr="00EA202A">
              <w:rPr>
                <w:rStyle w:val="Hyperkobling"/>
                <w:noProof/>
              </w:rPr>
              <w:t>4.4.1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Helse og miljøfarlige stoffer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77858" w14:textId="32401FD9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0" w:history="1">
            <w:r w:rsidRPr="00EA202A">
              <w:rPr>
                <w:rStyle w:val="Hyperkobling"/>
                <w:noProof/>
              </w:rPr>
              <w:t>4.4.2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HMS-generelt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09333" w14:textId="39586EAF" w:rsidR="00FD3072" w:rsidRDefault="00FD3072" w:rsidP="00FD3072">
          <w:pPr>
            <w:pStyle w:val="INNH2"/>
            <w:tabs>
              <w:tab w:val="left" w:pos="110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1" w:history="1">
            <w:r w:rsidRPr="00EA202A">
              <w:rPr>
                <w:rStyle w:val="Hyperkobling"/>
                <w:noProof/>
              </w:rPr>
              <w:t>4.4.3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Anleggsmiljø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BCD18" w14:textId="564E2E16" w:rsidR="00FD3072" w:rsidRDefault="00FD3072" w:rsidP="00FD3072">
          <w:pPr>
            <w:pStyle w:val="INNH2"/>
            <w:tabs>
              <w:tab w:val="left" w:pos="110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2" w:history="1">
            <w:r w:rsidRPr="00EA202A">
              <w:rPr>
                <w:rStyle w:val="Hyperkobling"/>
                <w:noProof/>
              </w:rPr>
              <w:t>4.4.4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Renhold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7C2B9" w14:textId="57A2C3E0" w:rsidR="00FD3072" w:rsidRDefault="00FD3072" w:rsidP="00FD3072">
          <w:pPr>
            <w:pStyle w:val="INNH2"/>
            <w:tabs>
              <w:tab w:val="left" w:pos="110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3" w:history="1">
            <w:r w:rsidRPr="00EA202A">
              <w:rPr>
                <w:rStyle w:val="Hyperkobling"/>
                <w:noProof/>
              </w:rPr>
              <w:t>4.4.5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Avfallshåndtering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6051B" w14:textId="5F01E4CB" w:rsidR="00FD3072" w:rsidRDefault="00FD3072" w:rsidP="00FD3072">
          <w:pPr>
            <w:pStyle w:val="INNH2"/>
            <w:tabs>
              <w:tab w:val="left" w:pos="110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4" w:history="1">
            <w:r w:rsidRPr="00EA202A">
              <w:rPr>
                <w:rStyle w:val="Hyperkobling"/>
                <w:noProof/>
              </w:rPr>
              <w:t>4.4.6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Tørt bygg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EA4BD" w14:textId="433FE4F6" w:rsidR="00FD3072" w:rsidRDefault="00FD3072" w:rsidP="00FD3072">
          <w:pPr>
            <w:pStyle w:val="INNH2"/>
            <w:tabs>
              <w:tab w:val="left" w:pos="110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5" w:history="1">
            <w:r w:rsidRPr="00EA202A">
              <w:rPr>
                <w:rStyle w:val="Hyperkobling"/>
                <w:noProof/>
              </w:rPr>
              <w:t>4.4.7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Materialbruk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2CEE4" w14:textId="3E536CE3" w:rsidR="00FD3072" w:rsidRDefault="00FD3072" w:rsidP="00FD3072">
          <w:pPr>
            <w:pStyle w:val="INNH1"/>
            <w:tabs>
              <w:tab w:val="left" w:pos="44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6" w:history="1">
            <w:r w:rsidRPr="00EA202A">
              <w:rPr>
                <w:rStyle w:val="Hyperkobling"/>
                <w:noProof/>
              </w:rPr>
              <w:t>5.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Dokumentasjon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7A76B" w14:textId="050A21E9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7" w:history="1">
            <w:r w:rsidRPr="00EA202A">
              <w:rPr>
                <w:rStyle w:val="Hyperkobling"/>
                <w:noProof/>
              </w:rPr>
              <w:t>5.1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FDVU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E7C42" w14:textId="684C9CD0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8" w:history="1">
            <w:r w:rsidRPr="00EA202A">
              <w:rPr>
                <w:rStyle w:val="Hyperkobling"/>
                <w:noProof/>
              </w:rPr>
              <w:t>5.1.1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Filnavn på FDVU</w:t>
            </w:r>
            <w:r w:rsidRPr="00EA202A">
              <w:rPr>
                <w:rStyle w:val="Hyperkobling"/>
                <w:rFonts w:ascii="Cambria Math" w:hAnsi="Cambria Math" w:cs="Cambria Math"/>
                <w:noProof/>
              </w:rPr>
              <w:t>‐</w:t>
            </w:r>
            <w:r w:rsidRPr="00EA202A">
              <w:rPr>
                <w:rStyle w:val="Hyperkobling"/>
                <w:noProof/>
              </w:rPr>
              <w:t>dokumentasjon: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18EEC" w14:textId="384E0471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39" w:history="1">
            <w:r w:rsidRPr="00EA202A">
              <w:rPr>
                <w:rStyle w:val="Hyperkobling"/>
                <w:noProof/>
              </w:rPr>
              <w:t>5.1.2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Språk på innlagt FDVU‐dokumentasjon: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4CE40" w14:textId="42FF7B72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40" w:history="1">
            <w:r w:rsidRPr="00EA202A">
              <w:rPr>
                <w:rStyle w:val="Hyperkobling"/>
                <w:noProof/>
              </w:rPr>
              <w:t>5.1.3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Produktdatablader generelt: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93C61" w14:textId="3B04B5B8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41" w:history="1">
            <w:r w:rsidRPr="00EA202A">
              <w:rPr>
                <w:rStyle w:val="Hyperkobling"/>
                <w:noProof/>
              </w:rPr>
              <w:t>5.1.4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Dokumentasjon generelt: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E0186" w14:textId="384CF345" w:rsidR="00FD3072" w:rsidRDefault="00FD3072" w:rsidP="00FD3072">
          <w:pPr>
            <w:pStyle w:val="INNH3"/>
            <w:tabs>
              <w:tab w:val="left" w:pos="132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42" w:history="1">
            <w:r w:rsidRPr="00EA202A">
              <w:rPr>
                <w:rStyle w:val="Hyperkobling"/>
                <w:noProof/>
              </w:rPr>
              <w:t>5.1.5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FDVU‐dokumentasjon, spesielt: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D3291" w14:textId="3A0A8B0F" w:rsidR="00FD3072" w:rsidRDefault="00FD3072" w:rsidP="00FD3072">
          <w:pPr>
            <w:pStyle w:val="INNH2"/>
            <w:tabs>
              <w:tab w:val="left" w:pos="88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43" w:history="1">
            <w:r w:rsidRPr="00EA202A">
              <w:rPr>
                <w:rStyle w:val="Hyperkobling"/>
                <w:noProof/>
              </w:rPr>
              <w:t>5.2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Tegninger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9CA0E" w14:textId="190DFF2E" w:rsidR="00FD3072" w:rsidRDefault="00FD3072" w:rsidP="00FD3072">
          <w:pPr>
            <w:pStyle w:val="INNH1"/>
            <w:tabs>
              <w:tab w:val="left" w:pos="440"/>
              <w:tab w:val="right" w:leader="dot" w:pos="9062"/>
            </w:tabs>
            <w:spacing w:after="40"/>
            <w:rPr>
              <w:rFonts w:eastAsiaTheme="minorEastAsia"/>
              <w:noProof/>
              <w:lang w:eastAsia="nb-NO"/>
            </w:rPr>
          </w:pPr>
          <w:hyperlink w:anchor="_Toc103935344" w:history="1">
            <w:r w:rsidRPr="00EA202A">
              <w:rPr>
                <w:rStyle w:val="Hyperkobling"/>
                <w:noProof/>
              </w:rPr>
              <w:t>6.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EA202A">
              <w:rPr>
                <w:rStyle w:val="Hyperkobling"/>
                <w:noProof/>
              </w:rPr>
              <w:t>Merking systemer og komponenter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_Toc103935344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C31D7" w14:textId="6BD94BB5" w:rsidR="00B37A23" w:rsidRDefault="00B37A23" w:rsidP="00FD3072">
          <w:pPr>
            <w:spacing w:after="4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00CCE611" w14:textId="12E1CCB5" w:rsidR="00F31F23" w:rsidRDefault="00B37A23" w:rsidP="00B37A23">
      <w:pPr>
        <w:pStyle w:val="Overskrift1"/>
        <w:numPr>
          <w:ilvl w:val="0"/>
          <w:numId w:val="1"/>
        </w:numPr>
      </w:pPr>
      <w:r>
        <w:br w:type="page"/>
      </w:r>
      <w:bookmarkStart w:id="0" w:name="_Toc103935312"/>
      <w:r>
        <w:lastRenderedPageBreak/>
        <w:t>ADRESSELISTE</w:t>
      </w:r>
      <w:bookmarkEnd w:id="0"/>
    </w:p>
    <w:p w14:paraId="4FA2C1BD" w14:textId="77777777" w:rsidR="00B37A23" w:rsidRPr="00B37A23" w:rsidRDefault="00B37A23" w:rsidP="00B37A23">
      <w:pPr>
        <w:pStyle w:val="Ingenmellomrom"/>
      </w:pPr>
    </w:p>
    <w:tbl>
      <w:tblPr>
        <w:tblW w:w="97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5"/>
        <w:gridCol w:w="1557"/>
        <w:gridCol w:w="3118"/>
        <w:gridCol w:w="1116"/>
      </w:tblGrid>
      <w:tr w:rsidR="00B37A23" w:rsidRPr="00B37A23" w14:paraId="334974C8" w14:textId="77777777" w:rsidTr="00FA13EA">
        <w:tc>
          <w:tcPr>
            <w:tcW w:w="2127" w:type="dxa"/>
            <w:shd w:val="pct15" w:color="auto" w:fill="FFFFFF"/>
          </w:tcPr>
          <w:p w14:paraId="31EF45E8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  <w:t>Firma / etat</w:t>
            </w:r>
          </w:p>
          <w:p w14:paraId="435996D8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45" w:type="dxa"/>
            <w:shd w:val="pct15" w:color="auto" w:fill="FFFFFF"/>
          </w:tcPr>
          <w:p w14:paraId="5EFCB3D5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F8BEAA4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Funksjon</w:t>
            </w:r>
          </w:p>
        </w:tc>
        <w:tc>
          <w:tcPr>
            <w:tcW w:w="1557" w:type="dxa"/>
            <w:shd w:val="pct15" w:color="auto" w:fill="FFFFFF"/>
          </w:tcPr>
          <w:p w14:paraId="55B55D82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9D12C74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Saksbehandler</w:t>
            </w:r>
          </w:p>
        </w:tc>
        <w:tc>
          <w:tcPr>
            <w:tcW w:w="3118" w:type="dxa"/>
            <w:shd w:val="pct15" w:color="auto" w:fill="FFFFFF"/>
          </w:tcPr>
          <w:p w14:paraId="58A32B04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6B6203C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E-mail</w:t>
            </w:r>
          </w:p>
        </w:tc>
        <w:tc>
          <w:tcPr>
            <w:tcW w:w="1116" w:type="dxa"/>
            <w:shd w:val="pct15" w:color="auto" w:fill="FFFFFF"/>
          </w:tcPr>
          <w:p w14:paraId="13FF40DE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268386D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Telefon</w:t>
            </w:r>
          </w:p>
        </w:tc>
      </w:tr>
      <w:tr w:rsidR="00B37A23" w:rsidRPr="00B37A23" w14:paraId="52131B77" w14:textId="77777777" w:rsidTr="00FA13EA">
        <w:tc>
          <w:tcPr>
            <w:tcW w:w="2127" w:type="dxa"/>
          </w:tcPr>
          <w:p w14:paraId="2411E590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nb-NO"/>
              </w:rPr>
              <w:t>Byggherre</w:t>
            </w:r>
          </w:p>
        </w:tc>
        <w:tc>
          <w:tcPr>
            <w:tcW w:w="1845" w:type="dxa"/>
          </w:tcPr>
          <w:p w14:paraId="5DA09509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7" w:type="dxa"/>
          </w:tcPr>
          <w:p w14:paraId="74825E4C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18" w:type="dxa"/>
          </w:tcPr>
          <w:p w14:paraId="48687641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16" w:type="dxa"/>
          </w:tcPr>
          <w:p w14:paraId="6A8D8423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B37A23" w:rsidRPr="00B37A23" w14:paraId="4177FAF5" w14:textId="77777777" w:rsidTr="00FA13EA">
        <w:tc>
          <w:tcPr>
            <w:tcW w:w="2127" w:type="dxa"/>
          </w:tcPr>
          <w:p w14:paraId="42117B86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Nordlandssykehuset HF</w:t>
            </w:r>
          </w:p>
          <w:p w14:paraId="33BC8E9C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Forvaltning og utvikling</w:t>
            </w:r>
          </w:p>
          <w:p w14:paraId="63B7C2B9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Prinsensgt 164</w:t>
            </w:r>
          </w:p>
          <w:p w14:paraId="1BB61B0F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8092 Bodø</w:t>
            </w:r>
          </w:p>
        </w:tc>
        <w:tc>
          <w:tcPr>
            <w:tcW w:w="1845" w:type="dxa"/>
          </w:tcPr>
          <w:p w14:paraId="3438DED9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04CA00DB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Prosjektansvarlig</w:t>
            </w:r>
          </w:p>
          <w:p w14:paraId="548F72C0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1E321B80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0355B89F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0A986B4E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7" w:type="dxa"/>
          </w:tcPr>
          <w:p w14:paraId="14594403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3F92F52A" w14:textId="77777777" w:rsidR="00B37A23" w:rsidRPr="00B37A23" w:rsidRDefault="00571DBB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Otto Larsen</w:t>
            </w:r>
          </w:p>
          <w:p w14:paraId="03D43071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7E530CE7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18" w:type="dxa"/>
          </w:tcPr>
          <w:p w14:paraId="5323006A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00D3BE26" w14:textId="77777777" w:rsidR="00571DBB" w:rsidRDefault="00697E87" w:rsidP="00571DBB">
            <w:pPr>
              <w:pStyle w:val="Default"/>
              <w:rPr>
                <w:sz w:val="18"/>
                <w:szCs w:val="18"/>
              </w:rPr>
            </w:pPr>
            <w:hyperlink r:id="rId12" w:history="1">
              <w:r w:rsidR="00571DBB" w:rsidRPr="00350D47">
                <w:rPr>
                  <w:rStyle w:val="Hyperkobling"/>
                  <w:sz w:val="18"/>
                  <w:szCs w:val="18"/>
                </w:rPr>
                <w:t>Otto.Larsen@nordlandssykehuset.no</w:t>
              </w:r>
            </w:hyperlink>
          </w:p>
          <w:p w14:paraId="563270E6" w14:textId="77777777" w:rsidR="00571DBB" w:rsidRPr="00571DBB" w:rsidRDefault="00571DBB" w:rsidP="00571DBB">
            <w:pPr>
              <w:pStyle w:val="Default"/>
              <w:rPr>
                <w:sz w:val="18"/>
                <w:szCs w:val="18"/>
              </w:rPr>
            </w:pPr>
          </w:p>
          <w:p w14:paraId="68221121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7DF801AA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16" w:type="dxa"/>
          </w:tcPr>
          <w:p w14:paraId="2E64DF6E" w14:textId="77777777" w:rsid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6EDC3E6C" w14:textId="77777777" w:rsidR="00571DBB" w:rsidRPr="00B37A23" w:rsidRDefault="00571DBB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901 02 114</w:t>
            </w:r>
          </w:p>
          <w:p w14:paraId="1253AFAC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2F870578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69E997F8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B37A23" w:rsidRPr="00B37A23" w14:paraId="21EC3B12" w14:textId="77777777" w:rsidTr="00FA13EA">
        <w:tc>
          <w:tcPr>
            <w:tcW w:w="2127" w:type="dxa"/>
          </w:tcPr>
          <w:p w14:paraId="32E35821" w14:textId="77777777" w:rsidR="00337B41" w:rsidRPr="00337B41" w:rsidRDefault="00337B41" w:rsidP="00337B41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37B41">
              <w:rPr>
                <w:rFonts w:ascii="Arial" w:hAnsi="Arial" w:cs="Arial"/>
                <w:sz w:val="16"/>
                <w:szCs w:val="18"/>
              </w:rPr>
              <w:t xml:space="preserve">Nordlandssykehuset HF </w:t>
            </w:r>
          </w:p>
          <w:p w14:paraId="56B8BCA2" w14:textId="77777777" w:rsidR="00B37A23" w:rsidRPr="00337B41" w:rsidRDefault="00337B41" w:rsidP="0033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nb-NO"/>
              </w:rPr>
            </w:pPr>
            <w:r w:rsidRPr="00337B41">
              <w:rPr>
                <w:rFonts w:ascii="Arial" w:hAnsi="Arial" w:cs="Arial"/>
                <w:sz w:val="16"/>
                <w:szCs w:val="18"/>
              </w:rPr>
              <w:t xml:space="preserve">Senter for drift og eiendom </w:t>
            </w:r>
          </w:p>
          <w:p w14:paraId="08297A1B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  <w:p w14:paraId="3A3E1CD3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45" w:type="dxa"/>
          </w:tcPr>
          <w:p w14:paraId="7BE49B46" w14:textId="77777777" w:rsidR="00B37A23" w:rsidRPr="00B37A23" w:rsidRDefault="00337B41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Assisterende prosjektleder</w:t>
            </w:r>
          </w:p>
        </w:tc>
        <w:tc>
          <w:tcPr>
            <w:tcW w:w="1557" w:type="dxa"/>
          </w:tcPr>
          <w:p w14:paraId="0C25B75B" w14:textId="77777777" w:rsidR="00B37A23" w:rsidRPr="00B37A23" w:rsidRDefault="00337B41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Aleksander Veinan</w:t>
            </w:r>
          </w:p>
        </w:tc>
        <w:tc>
          <w:tcPr>
            <w:tcW w:w="3118" w:type="dxa"/>
          </w:tcPr>
          <w:p w14:paraId="1DF7D954" w14:textId="77777777" w:rsidR="00B37A23" w:rsidRPr="00B37A23" w:rsidRDefault="00697E87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hyperlink r:id="rId13" w:history="1">
              <w:r w:rsidR="00337B41" w:rsidRPr="00350D47">
                <w:rPr>
                  <w:rStyle w:val="Hyperkobling"/>
                  <w:rFonts w:ascii="Arial" w:eastAsia="Times New Roman" w:hAnsi="Arial" w:cs="Arial"/>
                  <w:sz w:val="16"/>
                  <w:szCs w:val="16"/>
                  <w:lang w:eastAsia="nb-NO"/>
                </w:rPr>
                <w:t>Aleksander.veinan@nordlandssykehuset.no</w:t>
              </w:r>
            </w:hyperlink>
            <w:r w:rsidR="00337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116" w:type="dxa"/>
          </w:tcPr>
          <w:p w14:paraId="485938FE" w14:textId="77777777" w:rsidR="00B37A23" w:rsidRPr="00B37A23" w:rsidRDefault="00337B41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470 58 075</w:t>
            </w:r>
          </w:p>
        </w:tc>
      </w:tr>
      <w:tr w:rsidR="00B37A23" w:rsidRPr="00B37A23" w14:paraId="351AC554" w14:textId="77777777" w:rsidTr="00FA13EA">
        <w:tc>
          <w:tcPr>
            <w:tcW w:w="2127" w:type="dxa"/>
          </w:tcPr>
          <w:p w14:paraId="7EA2F05C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nb-NO"/>
              </w:rPr>
              <w:t>Prosjekterings-</w:t>
            </w:r>
          </w:p>
          <w:p w14:paraId="4BEBFCEC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37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nb-NO"/>
              </w:rPr>
              <w:t>gruppe</w:t>
            </w:r>
          </w:p>
        </w:tc>
        <w:tc>
          <w:tcPr>
            <w:tcW w:w="1845" w:type="dxa"/>
          </w:tcPr>
          <w:p w14:paraId="3752BB2F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7" w:type="dxa"/>
          </w:tcPr>
          <w:p w14:paraId="7BE3BE8E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118" w:type="dxa"/>
          </w:tcPr>
          <w:p w14:paraId="6B124E89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16" w:type="dxa"/>
          </w:tcPr>
          <w:p w14:paraId="385BCED6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B37A23" w:rsidRPr="00B37A23" w14:paraId="35B8198C" w14:textId="77777777" w:rsidTr="00FA13EA">
        <w:tc>
          <w:tcPr>
            <w:tcW w:w="2127" w:type="dxa"/>
          </w:tcPr>
          <w:p w14:paraId="5F10FC55" w14:textId="77777777" w:rsidR="00B37A23" w:rsidRPr="00B37A23" w:rsidRDefault="000077FC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Rambøll AS</w:t>
            </w:r>
          </w:p>
          <w:p w14:paraId="29AD3A66" w14:textId="77777777" w:rsidR="00B37A23" w:rsidRPr="00B37A23" w:rsidRDefault="00B37A23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45" w:type="dxa"/>
          </w:tcPr>
          <w:p w14:paraId="75A615A5" w14:textId="77777777" w:rsidR="00B37A23" w:rsidRPr="00B37A23" w:rsidRDefault="000077FC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RIB</w:t>
            </w:r>
          </w:p>
        </w:tc>
        <w:tc>
          <w:tcPr>
            <w:tcW w:w="1557" w:type="dxa"/>
          </w:tcPr>
          <w:p w14:paraId="7F995CCA" w14:textId="77777777" w:rsidR="00B37A23" w:rsidRPr="00B37A23" w:rsidRDefault="000077FC" w:rsidP="00237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Børge Kristensen</w:t>
            </w:r>
          </w:p>
        </w:tc>
        <w:tc>
          <w:tcPr>
            <w:tcW w:w="3118" w:type="dxa"/>
          </w:tcPr>
          <w:p w14:paraId="3989A958" w14:textId="77777777" w:rsidR="00B37A23" w:rsidRPr="00B37A23" w:rsidRDefault="00697E87" w:rsidP="00237107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hyperlink r:id="rId14" w:history="1">
              <w:r w:rsidR="000077FC" w:rsidRPr="00350D47">
                <w:rPr>
                  <w:rStyle w:val="Hyperkobling"/>
                  <w:rFonts w:ascii="Arial" w:eastAsia="Times New Roman" w:hAnsi="Arial" w:cs="Arial"/>
                  <w:sz w:val="16"/>
                  <w:szCs w:val="16"/>
                  <w:lang w:eastAsia="nb-NO"/>
                </w:rPr>
                <w:t>Borge.kristensen@ramboll.no</w:t>
              </w:r>
            </w:hyperlink>
          </w:p>
        </w:tc>
        <w:tc>
          <w:tcPr>
            <w:tcW w:w="1116" w:type="dxa"/>
          </w:tcPr>
          <w:p w14:paraId="71326776" w14:textId="77777777" w:rsidR="00B37A23" w:rsidRPr="00B37A23" w:rsidRDefault="000077FC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480 21 033</w:t>
            </w:r>
          </w:p>
        </w:tc>
      </w:tr>
      <w:tr w:rsidR="00B37A23" w:rsidRPr="00B37A23" w14:paraId="5976A717" w14:textId="77777777" w:rsidTr="00FA13EA">
        <w:tc>
          <w:tcPr>
            <w:tcW w:w="2127" w:type="dxa"/>
          </w:tcPr>
          <w:p w14:paraId="72B8D71D" w14:textId="77777777" w:rsidR="00B37A23" w:rsidRDefault="000077FC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BOARCH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8404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Arkitekter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AS</w:t>
            </w:r>
          </w:p>
          <w:p w14:paraId="382169C6" w14:textId="77777777" w:rsidR="008404FB" w:rsidRPr="00B37A23" w:rsidRDefault="008404FB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845" w:type="dxa"/>
          </w:tcPr>
          <w:p w14:paraId="74E39CAE" w14:textId="77777777" w:rsidR="00B37A23" w:rsidRPr="00B37A23" w:rsidRDefault="008404FB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ARK</w:t>
            </w:r>
          </w:p>
        </w:tc>
        <w:tc>
          <w:tcPr>
            <w:tcW w:w="1557" w:type="dxa"/>
          </w:tcPr>
          <w:p w14:paraId="5AFEB18D" w14:textId="77777777" w:rsidR="00B37A23" w:rsidRPr="00B37A23" w:rsidRDefault="008404FB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Gisle Jakhelln</w:t>
            </w:r>
          </w:p>
        </w:tc>
        <w:tc>
          <w:tcPr>
            <w:tcW w:w="3118" w:type="dxa"/>
          </w:tcPr>
          <w:p w14:paraId="77EE4F40" w14:textId="77777777" w:rsidR="00B37A23" w:rsidRPr="00B37A23" w:rsidRDefault="00697E87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hyperlink r:id="rId15" w:history="1">
              <w:r w:rsidR="008404FB" w:rsidRPr="00350D47">
                <w:rPr>
                  <w:rStyle w:val="Hyperkobling"/>
                  <w:rFonts w:ascii="Arial" w:eastAsia="Times New Roman" w:hAnsi="Arial" w:cs="Arial"/>
                  <w:sz w:val="16"/>
                  <w:szCs w:val="16"/>
                  <w:lang w:eastAsia="nb-NO"/>
                </w:rPr>
                <w:t>Gisle@boarch.no</w:t>
              </w:r>
            </w:hyperlink>
          </w:p>
        </w:tc>
        <w:tc>
          <w:tcPr>
            <w:tcW w:w="1116" w:type="dxa"/>
          </w:tcPr>
          <w:p w14:paraId="0C635313" w14:textId="77777777" w:rsidR="00B37A23" w:rsidRPr="00B37A23" w:rsidRDefault="008404FB" w:rsidP="00B3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934 09 409</w:t>
            </w:r>
          </w:p>
        </w:tc>
      </w:tr>
    </w:tbl>
    <w:p w14:paraId="37F4F71F" w14:textId="77777777" w:rsidR="00B37A23" w:rsidRDefault="00B37A23" w:rsidP="00B37A23">
      <w:pPr>
        <w:pStyle w:val="Ingenmellomrom"/>
      </w:pPr>
    </w:p>
    <w:p w14:paraId="64A5D0C4" w14:textId="5AFCA861" w:rsidR="009C17CD" w:rsidRDefault="009E12A6" w:rsidP="009C17CD">
      <w:pPr>
        <w:pStyle w:val="Overskrift1"/>
        <w:numPr>
          <w:ilvl w:val="0"/>
          <w:numId w:val="1"/>
        </w:numPr>
      </w:pPr>
      <w:bookmarkStart w:id="1" w:name="_Toc103935313"/>
      <w:r>
        <w:t>KONTRAKTSBESTEMMELSER</w:t>
      </w:r>
      <w:bookmarkEnd w:id="1"/>
    </w:p>
    <w:p w14:paraId="4846CD2A" w14:textId="4475CD06" w:rsidR="009C17CD" w:rsidRDefault="009E12A6" w:rsidP="009C17CD">
      <w:pPr>
        <w:pStyle w:val="Overskrift2"/>
        <w:numPr>
          <w:ilvl w:val="1"/>
          <w:numId w:val="1"/>
        </w:numPr>
      </w:pPr>
      <w:bookmarkStart w:id="2" w:name="_Toc103935314"/>
      <w:r>
        <w:t>Generelt</w:t>
      </w:r>
      <w:bookmarkEnd w:id="2"/>
      <w:r>
        <w:t xml:space="preserve"> </w:t>
      </w:r>
    </w:p>
    <w:p w14:paraId="5F39958E" w14:textId="77777777" w:rsidR="009C17CD" w:rsidRPr="00BC044B" w:rsidRDefault="009E12A6" w:rsidP="009C17CD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 xml:space="preserve">Som alminnelige </w:t>
      </w:r>
      <w:proofErr w:type="spellStart"/>
      <w:r w:rsidRPr="00BC044B">
        <w:rPr>
          <w:rFonts w:eastAsia="Trebuchet MS" w:cs="Arial"/>
          <w:szCs w:val="20"/>
        </w:rPr>
        <w:t>kontr</w:t>
      </w:r>
      <w:r w:rsidR="00856B5D" w:rsidRPr="00BC044B">
        <w:rPr>
          <w:rFonts w:eastAsia="Trebuchet MS" w:cs="Arial"/>
          <w:szCs w:val="20"/>
        </w:rPr>
        <w:t>aktbestemmelser</w:t>
      </w:r>
      <w:proofErr w:type="spellEnd"/>
      <w:r w:rsidR="00856B5D" w:rsidRPr="00BC044B">
        <w:rPr>
          <w:rFonts w:eastAsia="Trebuchet MS" w:cs="Arial"/>
          <w:szCs w:val="20"/>
        </w:rPr>
        <w:t xml:space="preserve">, gjelder NS </w:t>
      </w:r>
      <w:r w:rsidR="00DC5153" w:rsidRPr="00BC044B">
        <w:rPr>
          <w:rFonts w:eastAsia="Trebuchet MS" w:cs="Arial"/>
          <w:szCs w:val="20"/>
        </w:rPr>
        <w:t>8406,</w:t>
      </w:r>
      <w:r w:rsidR="00856B5D" w:rsidRPr="00BC044B">
        <w:rPr>
          <w:rFonts w:eastAsia="Trebuchet MS" w:cs="Arial"/>
          <w:szCs w:val="20"/>
        </w:rPr>
        <w:t xml:space="preserve"> "Forenklet n</w:t>
      </w:r>
      <w:r w:rsidRPr="00BC044B">
        <w:rPr>
          <w:rFonts w:eastAsia="Trebuchet MS" w:cs="Arial"/>
          <w:szCs w:val="20"/>
        </w:rPr>
        <w:t xml:space="preserve">orsk Bygge- og anleggskontrakt", med </w:t>
      </w:r>
      <w:r w:rsidR="003F7B1D" w:rsidRPr="00BC044B">
        <w:rPr>
          <w:rFonts w:eastAsia="Trebuchet MS" w:cs="Arial"/>
          <w:szCs w:val="20"/>
        </w:rPr>
        <w:t>nedenfor stående</w:t>
      </w:r>
      <w:r w:rsidRPr="00BC044B">
        <w:rPr>
          <w:rFonts w:eastAsia="Trebuchet MS" w:cs="Arial"/>
          <w:szCs w:val="20"/>
        </w:rPr>
        <w:t xml:space="preserve"> endringer og suppleringer:</w:t>
      </w:r>
    </w:p>
    <w:p w14:paraId="3F2B457F" w14:textId="7BFD47BC" w:rsidR="009C17CD" w:rsidRDefault="009E12A6" w:rsidP="009C17CD">
      <w:pPr>
        <w:pStyle w:val="Overskrift2"/>
        <w:numPr>
          <w:ilvl w:val="1"/>
          <w:numId w:val="1"/>
        </w:numPr>
      </w:pPr>
      <w:bookmarkStart w:id="3" w:name="_Toc103935315"/>
      <w:r>
        <w:t>Endringer og tillegg til NS 840</w:t>
      </w:r>
      <w:r w:rsidR="00856B5D">
        <w:t>6</w:t>
      </w:r>
      <w:bookmarkEnd w:id="3"/>
    </w:p>
    <w:p w14:paraId="7A15FBF7" w14:textId="77777777" w:rsidR="00C84987" w:rsidRDefault="00C84987" w:rsidP="00C84987">
      <w:r>
        <w:t xml:space="preserve">Pkt. </w:t>
      </w:r>
      <w:r w:rsidR="00D52A17">
        <w:t>8</w:t>
      </w:r>
      <w:r>
        <w:t xml:space="preserve"> - Sikkerhetsstillelse endres til:</w:t>
      </w:r>
    </w:p>
    <w:p w14:paraId="387022F9" w14:textId="77777777" w:rsidR="00C84987" w:rsidRDefault="00C84987" w:rsidP="00C84987">
      <w:r>
        <w:t>Byggherren stiller ingen sikkerhet.</w:t>
      </w:r>
    </w:p>
    <w:p w14:paraId="40FA8831" w14:textId="77777777" w:rsidR="00C84987" w:rsidRDefault="00C84987" w:rsidP="00C84987">
      <w:r>
        <w:t xml:space="preserve">Pkt. </w:t>
      </w:r>
      <w:r w:rsidR="00AD750B">
        <w:t>23.1 -</w:t>
      </w:r>
      <w:r>
        <w:t xml:space="preserve"> Indeksregulering.</w:t>
      </w:r>
    </w:p>
    <w:p w14:paraId="6647A28E" w14:textId="77777777" w:rsidR="00C84987" w:rsidRDefault="00C84987" w:rsidP="00C84987">
      <w:pPr>
        <w:spacing w:after="0"/>
      </w:pPr>
      <w:r>
        <w:t>Prisen justeres iht. totalindeksmetoden i NS 3405, totalindeks for boligblokk, fra anbudsmåned.</w:t>
      </w:r>
    </w:p>
    <w:p w14:paraId="65340ADC" w14:textId="77777777" w:rsidR="00C84987" w:rsidRDefault="00C84987" w:rsidP="00C84987">
      <w:pPr>
        <w:spacing w:after="0"/>
      </w:pPr>
      <w:r>
        <w:t xml:space="preserve">Det skal ikke foretas pris- og lønnsregulering på eventuelle forskudd. </w:t>
      </w:r>
    </w:p>
    <w:p w14:paraId="18917BA2" w14:textId="77777777" w:rsidR="00C84987" w:rsidRDefault="00C84987" w:rsidP="00C84987">
      <w:pPr>
        <w:spacing w:after="0"/>
      </w:pPr>
      <w:r>
        <w:t>Som alternativt tilbud oppgis et fast beløp for pris- og lønnsregulering (</w:t>
      </w:r>
      <w:proofErr w:type="spellStart"/>
      <w:r>
        <w:t>Kfr</w:t>
      </w:r>
      <w:proofErr w:type="spellEnd"/>
      <w:r>
        <w:t xml:space="preserve"> anbudsskjema).</w:t>
      </w:r>
    </w:p>
    <w:p w14:paraId="2040A3EF" w14:textId="77777777" w:rsidR="00C84987" w:rsidRDefault="00C84987" w:rsidP="00C84987">
      <w:r>
        <w:t xml:space="preserve">Hvis et fast beløp avtales, skal dette ved forsinket byggestart, forårsaket av </w:t>
      </w:r>
      <w:r w:rsidR="00407B7F">
        <w:t>byggherren, justeres</w:t>
      </w:r>
      <w:r>
        <w:t xml:space="preserve"> iht. totalindeksmetoden i NS 3405, indeks for boligblokk, fra antatt byggestart fram til virkelig byggestart</w:t>
      </w:r>
      <w:r w:rsidR="00407B7F">
        <w:t xml:space="preserve"> (</w:t>
      </w:r>
      <w:r>
        <w:t>start tilrigging). Ved forsinket ferdigstillelse forårsaket av byggherren, reguleres det avtalte beløp etter samme indeks.</w:t>
      </w:r>
    </w:p>
    <w:p w14:paraId="6ADDD67F" w14:textId="6BC04728" w:rsidR="009C17CD" w:rsidRDefault="009E12A6" w:rsidP="009C17CD">
      <w:pPr>
        <w:pStyle w:val="Overskrift2"/>
        <w:numPr>
          <w:ilvl w:val="1"/>
          <w:numId w:val="1"/>
        </w:numPr>
      </w:pPr>
      <w:bookmarkStart w:id="4" w:name="_Toc103935316"/>
      <w:r>
        <w:t xml:space="preserve">Underentreprenører – </w:t>
      </w:r>
      <w:proofErr w:type="spellStart"/>
      <w:r>
        <w:t>Kontraktvirksomhet</w:t>
      </w:r>
      <w:proofErr w:type="spellEnd"/>
      <w:r>
        <w:t>/Anti-kontraktørklausul</w:t>
      </w:r>
      <w:bookmarkEnd w:id="4"/>
    </w:p>
    <w:p w14:paraId="5B7ABBB3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 xml:space="preserve">Arbeidet skal utføres av entreprenøren og dennes ansatte i tjenesteforhold, eventuelt ved underentreprise.  </w:t>
      </w:r>
    </w:p>
    <w:p w14:paraId="0E7F9BB8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 xml:space="preserve">Avtale om underentreprise med enmannsforetak eller </w:t>
      </w:r>
      <w:proofErr w:type="gramStart"/>
      <w:r w:rsidRPr="00BC044B">
        <w:rPr>
          <w:rFonts w:eastAsia="Trebuchet MS" w:cs="Arial"/>
          <w:szCs w:val="20"/>
        </w:rPr>
        <w:t>anvendelse</w:t>
      </w:r>
      <w:proofErr w:type="gramEnd"/>
      <w:r w:rsidRPr="00BC044B">
        <w:rPr>
          <w:rFonts w:eastAsia="Trebuchet MS" w:cs="Arial"/>
          <w:szCs w:val="20"/>
        </w:rPr>
        <w:t xml:space="preserve"> av innleid arbeidskraft må være oppgitt og begrunnet i tilbudet og godkjent skriftlig av byggherren.  Det forutsettes at den innleide </w:t>
      </w:r>
      <w:r w:rsidRPr="00BC044B">
        <w:rPr>
          <w:rFonts w:eastAsia="Trebuchet MS" w:cs="Arial"/>
          <w:szCs w:val="20"/>
        </w:rPr>
        <w:lastRenderedPageBreak/>
        <w:t>arbeidskraft er lovlig og at deres arbeidsvilkår oppfyller de samme krav som for ansatte i tjenesteforhold i</w:t>
      </w:r>
      <w:r w:rsidR="00CA55C5">
        <w:rPr>
          <w:rFonts w:eastAsia="Trebuchet MS" w:cs="Arial"/>
          <w:szCs w:val="20"/>
        </w:rPr>
        <w:t>h</w:t>
      </w:r>
      <w:r w:rsidRPr="00BC044B">
        <w:rPr>
          <w:rFonts w:eastAsia="Trebuchet MS" w:cs="Arial"/>
          <w:szCs w:val="20"/>
        </w:rPr>
        <w:t>t</w:t>
      </w:r>
      <w:r w:rsidR="00CA55C5">
        <w:rPr>
          <w:rFonts w:eastAsia="Trebuchet MS" w:cs="Arial"/>
          <w:szCs w:val="20"/>
        </w:rPr>
        <w:t>.</w:t>
      </w:r>
      <w:r w:rsidRPr="00BC044B">
        <w:rPr>
          <w:rFonts w:eastAsia="Trebuchet MS" w:cs="Arial"/>
          <w:szCs w:val="20"/>
        </w:rPr>
        <w:t xml:space="preserve"> første avsnitt. Slik godkjennelse endrer ikke entreprenørens forpliktelser overfor byggherren. </w:t>
      </w:r>
    </w:p>
    <w:p w14:paraId="5085A594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Følgende bestemmelser skal gjelde:</w:t>
      </w:r>
    </w:p>
    <w:p w14:paraId="322E0066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Byggherrens nektelse av å godkjenne entreprenørens valg av underentreprenør etter denne bestemmelse gir ikke entreprenøren rett til godtgjørelse for de merkostnader dette måtte påføre ham.</w:t>
      </w:r>
    </w:p>
    <w:p w14:paraId="29D21688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Entreprenøren skal til enhver tid kunne dokumentere at den anvendte arbeidskraft oppfyller kontraktens bestemmelser. Dokumentasjonsplikten omfatter også underentreprenøren og dennes personell.</w:t>
      </w:r>
    </w:p>
    <w:p w14:paraId="7BB73233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Alle avtaler om underentrepriser skal inneholde likelydende bestemmelser om arbeidets utførelse, forhold på byggeplassen og utførelse ved underentreprise som anvendt i dette avtaledokument.</w:t>
      </w:r>
    </w:p>
    <w:p w14:paraId="3E0DC3B7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Byggherren kan kreve dagmulkt dersom entreprenøren selv eller noen av hans underentreprenører anvender ulovlig eller ikke-kontraktsmessig arbeidskraft og forholdet ikke er blitt rettet innen en frist gitt ved skriftlig varsel fra byggherren.  Mulkten løper fra fristens utløp til forholdets opphør.   Mulkten skal utgjøre 1 promille av kontraktsummen, men ikke mindre en kr. 1000,- pr. hverdag.</w:t>
      </w:r>
    </w:p>
    <w:p w14:paraId="311A209E" w14:textId="77777777" w:rsidR="009E12A6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 xml:space="preserve">Ved konstaterte brudd på </w:t>
      </w:r>
      <w:r w:rsidR="00EA7AB8" w:rsidRPr="00BC044B">
        <w:rPr>
          <w:rFonts w:eastAsia="Trebuchet MS" w:cs="Arial"/>
          <w:szCs w:val="20"/>
        </w:rPr>
        <w:t>ovenfor nevnte</w:t>
      </w:r>
      <w:r w:rsidRPr="00BC044B">
        <w:rPr>
          <w:rFonts w:eastAsia="Trebuchet MS" w:cs="Arial"/>
          <w:szCs w:val="20"/>
        </w:rPr>
        <w:t xml:space="preserve"> bestemmelser, og entreprenøren ikke har rettet feilen innen ny fastsatt </w:t>
      </w:r>
      <w:r w:rsidR="008642B2" w:rsidRPr="00BC044B">
        <w:rPr>
          <w:rFonts w:eastAsia="Trebuchet MS" w:cs="Arial"/>
          <w:szCs w:val="20"/>
        </w:rPr>
        <w:t>frist,</w:t>
      </w:r>
      <w:r w:rsidRPr="00BC044B">
        <w:rPr>
          <w:rFonts w:eastAsia="Trebuchet MS" w:cs="Arial"/>
          <w:szCs w:val="20"/>
        </w:rPr>
        <w:t xml:space="preserve"> kan byggherren heve kontrakten. </w:t>
      </w:r>
    </w:p>
    <w:p w14:paraId="52621EC5" w14:textId="77777777" w:rsidR="009C17CD" w:rsidRPr="00BC044B" w:rsidRDefault="009E12A6" w:rsidP="009E12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Rett til heving av kontrakten på dette grunnlag gir byggherren anledning til å utelukke entreprenøren/underentreprenøren fra å delta i oppdrag for denne byggherre i inntil ett år.</w:t>
      </w:r>
    </w:p>
    <w:p w14:paraId="19434F73" w14:textId="6A91FC8A" w:rsidR="009E12A6" w:rsidRDefault="002274A6" w:rsidP="002274A6">
      <w:pPr>
        <w:pStyle w:val="Overskrift2"/>
        <w:numPr>
          <w:ilvl w:val="1"/>
          <w:numId w:val="1"/>
        </w:numPr>
        <w:rPr>
          <w:rFonts w:eastAsia="Trebuchet MS"/>
        </w:rPr>
      </w:pPr>
      <w:bookmarkStart w:id="5" w:name="_Toc103935317"/>
      <w:r>
        <w:rPr>
          <w:rFonts w:eastAsia="Trebuchet MS"/>
        </w:rPr>
        <w:t>Regulering av kapitel «Rigg- og Drift»</w:t>
      </w:r>
      <w:bookmarkEnd w:id="5"/>
    </w:p>
    <w:p w14:paraId="464BA720" w14:textId="77777777" w:rsidR="002274A6" w:rsidRPr="00BC044B" w:rsidRDefault="00D7600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Tillegg til NS 8406 pkt 19.4</w:t>
      </w:r>
      <w:r w:rsidR="002274A6" w:rsidRPr="00BC044B">
        <w:rPr>
          <w:rFonts w:eastAsia="Trebuchet MS" w:cs="Arial"/>
          <w:szCs w:val="20"/>
        </w:rPr>
        <w:t>.</w:t>
      </w:r>
    </w:p>
    <w:p w14:paraId="5F5740E1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Øke</w:t>
      </w:r>
      <w:r w:rsidR="00B30EA5" w:rsidRPr="00BC044B">
        <w:rPr>
          <w:rFonts w:eastAsia="Trebuchet MS" w:cs="Arial"/>
          <w:szCs w:val="20"/>
        </w:rPr>
        <w:t>r byggekostnadene med mer enn 15</w:t>
      </w:r>
      <w:r w:rsidRPr="00BC044B">
        <w:rPr>
          <w:rFonts w:eastAsia="Trebuchet MS" w:cs="Arial"/>
          <w:szCs w:val="20"/>
        </w:rPr>
        <w:t>% av kontraktssummen, får entreprenøren en kompensasjon for økte rigg og driftskostnader. Denne kompensasjonen beregnes etter følgende formel:</w:t>
      </w:r>
    </w:p>
    <w:p w14:paraId="3160D1CE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 xml:space="preserve">0,6 </w:t>
      </w:r>
      <w:r w:rsidR="00AB4903" w:rsidRPr="00BC044B">
        <w:rPr>
          <w:rFonts w:eastAsia="Trebuchet MS" w:cs="Arial"/>
          <w:szCs w:val="20"/>
        </w:rPr>
        <w:t>R (T</w:t>
      </w:r>
      <w:r w:rsidRPr="00BC044B">
        <w:rPr>
          <w:rFonts w:eastAsia="Trebuchet MS" w:cs="Arial"/>
          <w:szCs w:val="20"/>
        </w:rPr>
        <w:t xml:space="preserve"> – 1,1 K)</w:t>
      </w:r>
    </w:p>
    <w:p w14:paraId="6A5D8C0C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ab/>
        <w:t>K</w:t>
      </w:r>
    </w:p>
    <w:p w14:paraId="21D29BC0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K = Kontraktssum.</w:t>
      </w:r>
    </w:p>
    <w:p w14:paraId="27ADE41A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R = Opprinnelig avtalt pris for rigg og drift av byggeplass.</w:t>
      </w:r>
    </w:p>
    <w:p w14:paraId="55147AA2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T = Totale kostnader inkl. netto endringer (variasjoner), men ekskl. pris- og lønnsstigning, og ekskl. eventuelle rigg- og driftskostnader som måtte være avtalt dekket av helt spesielle grunner.</w:t>
      </w:r>
    </w:p>
    <w:p w14:paraId="0DB173BE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Eventuelle påslag for administrasjon etc. av tiltransporterte entrepriser skal ikke tillegges ved regulering av rigg- og driftskostnadene. Tilleggsarbeider som har gitt grunnlag for tidsforlengelse, eller arbeider som er oppgjort inklusive rigg- og driftskostnader, skal heller ikke tillegges ved beregning av grunnlaget for reguleringen.</w:t>
      </w:r>
    </w:p>
    <w:p w14:paraId="6BB20029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lastRenderedPageBreak/>
        <w:t>Variasjoner bere</w:t>
      </w:r>
      <w:r w:rsidR="00B30EA5" w:rsidRPr="00BC044B">
        <w:rPr>
          <w:rFonts w:eastAsia="Trebuchet MS" w:cs="Arial"/>
          <w:szCs w:val="20"/>
        </w:rPr>
        <w:t>gnes etter prinsippene i NS 8406, pkt. 22</w:t>
      </w:r>
      <w:r w:rsidRPr="00BC044B">
        <w:rPr>
          <w:rFonts w:eastAsia="Trebuchet MS" w:cs="Arial"/>
          <w:szCs w:val="20"/>
        </w:rPr>
        <w:t>.</w:t>
      </w:r>
    </w:p>
    <w:p w14:paraId="26BD1151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Er endringen mindre enn 10% av kontraktssummen, foretas ingen endring av rigg og driftskostnadene.</w:t>
      </w:r>
    </w:p>
    <w:p w14:paraId="3E4E23F9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Eventuelle risikotillegg for foranstående reguleringsregler forutsettes inkludert i rigg- og driftskostnadene.</w:t>
      </w:r>
    </w:p>
    <w:p w14:paraId="56C6CF3D" w14:textId="79F6CDD7" w:rsidR="002274A6" w:rsidRDefault="002274A6" w:rsidP="002274A6">
      <w:pPr>
        <w:pStyle w:val="Overskrift2"/>
        <w:numPr>
          <w:ilvl w:val="1"/>
          <w:numId w:val="1"/>
        </w:numPr>
        <w:rPr>
          <w:rFonts w:eastAsia="Trebuchet MS"/>
        </w:rPr>
      </w:pPr>
      <w:bookmarkStart w:id="6" w:name="_Toc103935318"/>
      <w:r>
        <w:rPr>
          <w:rFonts w:eastAsia="Trebuchet MS"/>
        </w:rPr>
        <w:t>Oppmåling av mengder</w:t>
      </w:r>
      <w:bookmarkEnd w:id="6"/>
    </w:p>
    <w:p w14:paraId="24093173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Dersom entreprenøren foretar måling av arbeider som senere ikke kan kontrollmåles, uten å varsle byggherren, eller så sent at byggherren ikke kan møte, forbeholder byggherren seg rett til å fastsette endelige mengder.</w:t>
      </w:r>
    </w:p>
    <w:p w14:paraId="0FBADDE6" w14:textId="77777777" w:rsidR="002274A6" w:rsidRPr="00BC044B" w:rsidRDefault="002274A6" w:rsidP="002274A6">
      <w:p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Fristen for entreprenørens mengdekontroll settes til 4 uker etter bestilling.</w:t>
      </w:r>
    </w:p>
    <w:p w14:paraId="0EDF8139" w14:textId="5B0E4F18" w:rsidR="009C17CD" w:rsidRDefault="009C17CD" w:rsidP="009C17CD">
      <w:pPr>
        <w:pStyle w:val="Overskrift1"/>
        <w:numPr>
          <w:ilvl w:val="0"/>
          <w:numId w:val="1"/>
        </w:numPr>
      </w:pPr>
      <w:bookmarkStart w:id="7" w:name="_Toc103935319"/>
      <w:r>
        <w:t>FRAMDRIFTSPLAN</w:t>
      </w:r>
      <w:bookmarkEnd w:id="7"/>
    </w:p>
    <w:p w14:paraId="2F6D11D1" w14:textId="57F8302F" w:rsidR="009C17CD" w:rsidRDefault="009C17CD" w:rsidP="009C17CD">
      <w:pPr>
        <w:pStyle w:val="Overskrift2"/>
        <w:numPr>
          <w:ilvl w:val="1"/>
          <w:numId w:val="1"/>
        </w:numPr>
      </w:pPr>
      <w:bookmarkStart w:id="8" w:name="_Toc103935320"/>
      <w:r>
        <w:t>Krav til framdriftsplan, framdriftsplan</w:t>
      </w:r>
      <w:bookmarkEnd w:id="8"/>
    </w:p>
    <w:p w14:paraId="06515BEA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 xml:space="preserve">Arbeidene skal planlegges ut fra følgende forutsetninger </w:t>
      </w:r>
      <w:proofErr w:type="gramStart"/>
      <w:r w:rsidRPr="00BC044B">
        <w:rPr>
          <w:rFonts w:asciiTheme="minorHAnsi" w:hAnsiTheme="minorHAnsi" w:cs="Arial"/>
          <w:sz w:val="22"/>
          <w:szCs w:val="20"/>
        </w:rPr>
        <w:t>vedrørende</w:t>
      </w:r>
      <w:proofErr w:type="gramEnd"/>
      <w:r w:rsidRPr="00BC044B">
        <w:rPr>
          <w:rFonts w:asciiTheme="minorHAnsi" w:hAnsiTheme="minorHAnsi" w:cs="Arial"/>
          <w:sz w:val="22"/>
          <w:szCs w:val="20"/>
        </w:rPr>
        <w:t xml:space="preserve"> framdrift:</w:t>
      </w:r>
    </w:p>
    <w:p w14:paraId="7A3FE371" w14:textId="77777777" w:rsidR="009C17CD" w:rsidRPr="00BC044B" w:rsidRDefault="009C17CD" w:rsidP="009C17CD">
      <w:pPr>
        <w:pStyle w:val="Brdtekst"/>
        <w:rPr>
          <w:rFonts w:asciiTheme="minorHAnsi" w:hAnsiTheme="minorHAnsi" w:cs="Arial"/>
          <w:sz w:val="22"/>
          <w:szCs w:val="20"/>
        </w:rPr>
      </w:pPr>
    </w:p>
    <w:p w14:paraId="0005522D" w14:textId="77777777" w:rsidR="009C17CD" w:rsidRPr="00EF258C" w:rsidRDefault="009C17CD" w:rsidP="002274A6">
      <w:pPr>
        <w:pStyle w:val="Brdtekst"/>
        <w:ind w:left="0" w:firstLine="202"/>
        <w:rPr>
          <w:rFonts w:asciiTheme="minorHAnsi" w:hAnsiTheme="minorHAnsi" w:cs="Arial"/>
          <w:b/>
          <w:sz w:val="22"/>
          <w:szCs w:val="20"/>
        </w:rPr>
      </w:pPr>
      <w:r w:rsidRPr="00EF258C">
        <w:rPr>
          <w:rFonts w:asciiTheme="minorHAnsi" w:hAnsiTheme="minorHAnsi" w:cs="Arial"/>
          <w:b/>
          <w:sz w:val="22"/>
          <w:szCs w:val="20"/>
        </w:rPr>
        <w:t xml:space="preserve">- </w:t>
      </w:r>
      <w:r w:rsidR="000B0968">
        <w:rPr>
          <w:rFonts w:asciiTheme="minorHAnsi" w:hAnsiTheme="minorHAnsi" w:cs="Arial"/>
          <w:b/>
          <w:sz w:val="22"/>
          <w:szCs w:val="20"/>
        </w:rPr>
        <w:t xml:space="preserve">Tiltenkt oppstart: </w:t>
      </w:r>
      <w:r w:rsidR="007F3672">
        <w:rPr>
          <w:rFonts w:asciiTheme="minorHAnsi" w:hAnsiTheme="minorHAnsi" w:cs="Arial"/>
          <w:b/>
          <w:sz w:val="22"/>
          <w:szCs w:val="20"/>
        </w:rPr>
        <w:t>20.06.2022.</w:t>
      </w:r>
    </w:p>
    <w:p w14:paraId="672E4004" w14:textId="77777777" w:rsidR="009C17CD" w:rsidRPr="00EF258C" w:rsidRDefault="009C17CD" w:rsidP="009C17CD">
      <w:pPr>
        <w:pStyle w:val="Brdtekst"/>
        <w:rPr>
          <w:rFonts w:asciiTheme="minorHAnsi" w:hAnsiTheme="minorHAnsi" w:cs="Arial"/>
          <w:b/>
          <w:sz w:val="22"/>
          <w:szCs w:val="20"/>
        </w:rPr>
      </w:pPr>
      <w:r w:rsidRPr="00EF258C">
        <w:rPr>
          <w:rFonts w:asciiTheme="minorHAnsi" w:hAnsiTheme="minorHAnsi" w:cs="Arial"/>
          <w:b/>
          <w:sz w:val="22"/>
          <w:szCs w:val="20"/>
        </w:rPr>
        <w:t>- Forslag til fremdriftsplan vedlegges tilbudet</w:t>
      </w:r>
    </w:p>
    <w:p w14:paraId="745AD815" w14:textId="77777777" w:rsidR="009C17CD" w:rsidRPr="00BC044B" w:rsidRDefault="009C17CD" w:rsidP="009C17CD">
      <w:pPr>
        <w:pStyle w:val="Brdtekst"/>
        <w:rPr>
          <w:rFonts w:asciiTheme="minorHAnsi" w:hAnsiTheme="minorHAnsi" w:cs="Arial"/>
          <w:sz w:val="22"/>
          <w:szCs w:val="20"/>
        </w:rPr>
      </w:pPr>
    </w:p>
    <w:p w14:paraId="5C208447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Etter kontraktsinngåelse skal entreprenørene utarbeide detaljerte framdriftsplaner for sine arbeider.</w:t>
      </w:r>
    </w:p>
    <w:p w14:paraId="667F924C" w14:textId="77777777" w:rsidR="009C17CD" w:rsidRPr="00BC044B" w:rsidRDefault="002274A6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D</w:t>
      </w:r>
      <w:r w:rsidR="009C17CD" w:rsidRPr="00BC044B">
        <w:rPr>
          <w:rFonts w:asciiTheme="minorHAnsi" w:hAnsiTheme="minorHAnsi" w:cs="Arial"/>
          <w:sz w:val="22"/>
          <w:szCs w:val="20"/>
        </w:rPr>
        <w:t xml:space="preserve">enne planen skal koordineres og settes sammen av byggeleder til en endelig </w:t>
      </w:r>
      <w:r w:rsidR="004367D7" w:rsidRPr="00BC044B">
        <w:rPr>
          <w:rFonts w:asciiTheme="minorHAnsi" w:hAnsiTheme="minorHAnsi" w:cs="Arial"/>
          <w:sz w:val="22"/>
          <w:szCs w:val="20"/>
        </w:rPr>
        <w:t>hoved framdriftsplan</w:t>
      </w:r>
      <w:r w:rsidR="009C17CD" w:rsidRPr="00BC044B">
        <w:rPr>
          <w:rFonts w:asciiTheme="minorHAnsi" w:hAnsiTheme="minorHAnsi" w:cs="Arial"/>
          <w:sz w:val="22"/>
          <w:szCs w:val="20"/>
        </w:rPr>
        <w:t xml:space="preserve"> for hele prosjektet.  I denne planen skal ovennevnte milep</w:t>
      </w:r>
      <w:r w:rsidR="0027021A">
        <w:rPr>
          <w:rFonts w:asciiTheme="minorHAnsi" w:hAnsiTheme="minorHAnsi" w:cs="Arial"/>
          <w:sz w:val="22"/>
          <w:szCs w:val="20"/>
        </w:rPr>
        <w:t>æ</w:t>
      </w:r>
      <w:r w:rsidR="009C17CD" w:rsidRPr="00BC044B">
        <w:rPr>
          <w:rFonts w:asciiTheme="minorHAnsi" w:hAnsiTheme="minorHAnsi" w:cs="Arial"/>
          <w:sz w:val="22"/>
          <w:szCs w:val="20"/>
        </w:rPr>
        <w:t xml:space="preserve">ler datofestes. </w:t>
      </w:r>
    </w:p>
    <w:p w14:paraId="471C6D23" w14:textId="77777777" w:rsidR="009C17CD" w:rsidRPr="009C17CD" w:rsidRDefault="009C17CD" w:rsidP="009C17CD">
      <w:pPr>
        <w:pStyle w:val="Brdtekst"/>
        <w:rPr>
          <w:rFonts w:ascii="Arial" w:hAnsi="Arial" w:cs="Arial"/>
          <w:sz w:val="20"/>
          <w:szCs w:val="20"/>
        </w:rPr>
      </w:pPr>
    </w:p>
    <w:p w14:paraId="2893B766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Generelt for framdriftsarbeidet skal entreprenøren:</w:t>
      </w:r>
    </w:p>
    <w:p w14:paraId="45EF9C2C" w14:textId="77777777" w:rsidR="009C17CD" w:rsidRPr="00BC044B" w:rsidRDefault="009C17CD" w:rsidP="009C17CD">
      <w:pPr>
        <w:pStyle w:val="Brdtekst"/>
        <w:rPr>
          <w:rFonts w:asciiTheme="minorHAnsi" w:hAnsiTheme="minorHAnsi" w:cs="Arial"/>
          <w:sz w:val="22"/>
          <w:szCs w:val="20"/>
        </w:rPr>
      </w:pPr>
    </w:p>
    <w:p w14:paraId="14470ED7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Innrette sitt arbeid i henhold til gjeldende framdriftsplaner.</w:t>
      </w:r>
    </w:p>
    <w:p w14:paraId="05111331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Omgående varsle byggherren hvis eget forhold truer med å sinke framdriften.</w:t>
      </w:r>
    </w:p>
    <w:p w14:paraId="7B1A0468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Uten omkostninger for byggherren og med alle midler søke å innvinne forsinkelser oppstått på grunn av egne forhold.</w:t>
      </w:r>
    </w:p>
    <w:p w14:paraId="3028002B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Varsle byggherren hvis framdriften ikke skjer overensstemmende med framdriftsplanene.</w:t>
      </w:r>
    </w:p>
    <w:p w14:paraId="099B4B2A" w14:textId="77777777" w:rsidR="009C17CD" w:rsidRPr="00BC044B" w:rsidRDefault="009C17CD" w:rsidP="002274A6">
      <w:pPr>
        <w:pStyle w:val="Brdtekst"/>
        <w:ind w:left="0"/>
        <w:rPr>
          <w:rFonts w:asciiTheme="minorHAnsi" w:hAnsiTheme="minorHAnsi" w:cs="Arial"/>
          <w:sz w:val="22"/>
          <w:szCs w:val="20"/>
        </w:rPr>
      </w:pPr>
      <w:r w:rsidRPr="00BC044B">
        <w:rPr>
          <w:rFonts w:asciiTheme="minorHAnsi" w:hAnsiTheme="minorHAnsi" w:cs="Arial"/>
          <w:sz w:val="22"/>
          <w:szCs w:val="20"/>
        </w:rPr>
        <w:t>Varsle byggherren hvis noen av de evt</w:t>
      </w:r>
      <w:r w:rsidR="00CF3050">
        <w:rPr>
          <w:rFonts w:asciiTheme="minorHAnsi" w:hAnsiTheme="minorHAnsi" w:cs="Arial"/>
          <w:sz w:val="22"/>
          <w:szCs w:val="20"/>
        </w:rPr>
        <w:t>.</w:t>
      </w:r>
      <w:r w:rsidRPr="00BC044B">
        <w:rPr>
          <w:rFonts w:asciiTheme="minorHAnsi" w:hAnsiTheme="minorHAnsi" w:cs="Arial"/>
          <w:sz w:val="22"/>
          <w:szCs w:val="20"/>
        </w:rPr>
        <w:t xml:space="preserve"> øvrige entreprenørenes forhold på noe punkt sinker eller truer med å sinke ferdigstillelsesdatoer.</w:t>
      </w:r>
    </w:p>
    <w:p w14:paraId="259F400F" w14:textId="2433B9E8" w:rsidR="00827728" w:rsidRDefault="00827728" w:rsidP="00827728">
      <w:pPr>
        <w:pStyle w:val="Overskrift1"/>
        <w:numPr>
          <w:ilvl w:val="0"/>
          <w:numId w:val="1"/>
        </w:numPr>
      </w:pPr>
      <w:bookmarkStart w:id="9" w:name="_Toc103935321"/>
      <w:r>
        <w:t>Felles forhold og bestemmelser for byggeplassen</w:t>
      </w:r>
      <w:bookmarkEnd w:id="9"/>
    </w:p>
    <w:p w14:paraId="696942F5" w14:textId="4752AB6D" w:rsidR="00827728" w:rsidRDefault="00827728" w:rsidP="00827728">
      <w:pPr>
        <w:pStyle w:val="Overskrift2"/>
        <w:numPr>
          <w:ilvl w:val="1"/>
          <w:numId w:val="1"/>
        </w:numPr>
      </w:pPr>
      <w:bookmarkStart w:id="10" w:name="_Toc103935322"/>
      <w:r>
        <w:t>Driftsforhold</w:t>
      </w:r>
      <w:bookmarkEnd w:id="10"/>
    </w:p>
    <w:p w14:paraId="063AA419" w14:textId="77777777" w:rsidR="00827728" w:rsidRPr="00BC044B" w:rsidRDefault="00B26C37" w:rsidP="00827728">
      <w:pPr>
        <w:rPr>
          <w:rFonts w:eastAsia="Trebuchet MS" w:cs="Arial"/>
          <w:szCs w:val="20"/>
        </w:rPr>
      </w:pPr>
      <w:r>
        <w:rPr>
          <w:rFonts w:eastAsia="Trebuchet MS" w:cs="Arial"/>
          <w:szCs w:val="20"/>
        </w:rPr>
        <w:t>Lokalene</w:t>
      </w:r>
      <w:r w:rsidR="00827728" w:rsidRPr="00BC044B">
        <w:rPr>
          <w:rFonts w:eastAsia="Trebuchet MS" w:cs="Arial"/>
          <w:szCs w:val="20"/>
        </w:rPr>
        <w:t xml:space="preserve"> skal være i full drift under hele anleggsperioden. Alle funksjoner skal være i kontinuerlig drift i hele byggeperioden. Ved inngripen i tekniske anlegg og/eller tekniske rom som berører tilførsel av vann, strøm, varme etc</w:t>
      </w:r>
      <w:r w:rsidR="00A42CDD">
        <w:rPr>
          <w:rFonts w:eastAsia="Trebuchet MS" w:cs="Arial"/>
          <w:szCs w:val="20"/>
        </w:rPr>
        <w:t>.</w:t>
      </w:r>
      <w:r w:rsidR="00827728" w:rsidRPr="00BC044B">
        <w:rPr>
          <w:rFonts w:eastAsia="Trebuchet MS" w:cs="Arial"/>
          <w:szCs w:val="20"/>
        </w:rPr>
        <w:t xml:space="preserve"> skal det tas hensyn at kontinuerlig drift skal opprettholdes, om nødvendig via provisorium.</w:t>
      </w:r>
    </w:p>
    <w:p w14:paraId="12B60690" w14:textId="3B15F12C" w:rsidR="009C17CD" w:rsidRDefault="00827728" w:rsidP="00827728">
      <w:pPr>
        <w:pStyle w:val="Overskrift2"/>
        <w:numPr>
          <w:ilvl w:val="1"/>
          <w:numId w:val="1"/>
        </w:numPr>
      </w:pPr>
      <w:bookmarkStart w:id="11" w:name="_Toc103935323"/>
      <w:r>
        <w:lastRenderedPageBreak/>
        <w:t>Varsling/begrensninger</w:t>
      </w:r>
      <w:bookmarkEnd w:id="11"/>
    </w:p>
    <w:p w14:paraId="6C266D9E" w14:textId="77777777" w:rsidR="00827728" w:rsidRPr="00BC044B" w:rsidRDefault="00827728" w:rsidP="00827728">
      <w:pPr>
        <w:rPr>
          <w:rFonts w:eastAsia="Trebuchet MS" w:cs="Arial"/>
        </w:rPr>
      </w:pPr>
      <w:r w:rsidRPr="00BC044B">
        <w:rPr>
          <w:rFonts w:eastAsia="Trebuchet MS" w:cs="Arial"/>
        </w:rPr>
        <w:t xml:space="preserve">Alle bygningsmessige tiltak slik som sprengning, støyende aktiviteter eller aktiviteter som kan tenkes å ha innvirkning for driften skal varsles. Varsling skal gå gjennom </w:t>
      </w:r>
      <w:r w:rsidR="00DC6AA0">
        <w:rPr>
          <w:rFonts w:eastAsia="Trebuchet MS" w:cs="Arial"/>
        </w:rPr>
        <w:t>prosjektansvarlig</w:t>
      </w:r>
      <w:r w:rsidRPr="00BC044B">
        <w:rPr>
          <w:rFonts w:eastAsia="Trebuchet MS" w:cs="Arial"/>
        </w:rPr>
        <w:t xml:space="preserve">. Spesielt skal støyende aktiviteter som hulltaking i betong, meisling i gulv, kjerneboring </w:t>
      </w:r>
      <w:proofErr w:type="spellStart"/>
      <w:r w:rsidRPr="00BC044B">
        <w:rPr>
          <w:rFonts w:eastAsia="Trebuchet MS" w:cs="Arial"/>
        </w:rPr>
        <w:t>etc</w:t>
      </w:r>
      <w:proofErr w:type="spellEnd"/>
      <w:r w:rsidRPr="00BC044B">
        <w:rPr>
          <w:rFonts w:eastAsia="Trebuchet MS" w:cs="Arial"/>
        </w:rPr>
        <w:t xml:space="preserve"> varsles og avtales på forhånd med sykehuset.</w:t>
      </w:r>
    </w:p>
    <w:p w14:paraId="19484627" w14:textId="2548C185" w:rsidR="00827728" w:rsidRDefault="00827728" w:rsidP="00827728">
      <w:pPr>
        <w:pStyle w:val="Overskrift2"/>
        <w:numPr>
          <w:ilvl w:val="1"/>
          <w:numId w:val="1"/>
        </w:numPr>
        <w:rPr>
          <w:rFonts w:eastAsia="Trebuchet MS"/>
        </w:rPr>
      </w:pPr>
      <w:bookmarkStart w:id="12" w:name="_Toc103935324"/>
      <w:r>
        <w:rPr>
          <w:rFonts w:eastAsia="Trebuchet MS"/>
        </w:rPr>
        <w:t>Rigg</w:t>
      </w:r>
      <w:bookmarkEnd w:id="12"/>
    </w:p>
    <w:p w14:paraId="04B81479" w14:textId="50F3F07A" w:rsidR="00827728" w:rsidRDefault="00827728" w:rsidP="00827728">
      <w:pPr>
        <w:pStyle w:val="Overskrift3"/>
        <w:numPr>
          <w:ilvl w:val="2"/>
          <w:numId w:val="1"/>
        </w:numPr>
      </w:pPr>
      <w:bookmarkStart w:id="13" w:name="_Toc103935325"/>
      <w:r>
        <w:t>Riggområde/adkomst</w:t>
      </w:r>
      <w:bookmarkEnd w:id="13"/>
    </w:p>
    <w:p w14:paraId="24F61251" w14:textId="77777777" w:rsidR="00827728" w:rsidRPr="00BC044B" w:rsidRDefault="00827728" w:rsidP="00827728">
      <w:pPr>
        <w:pStyle w:val="Ingenmellomrom"/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Entreprenøren skal utarbeide og vedlikeholde felles riggplan.</w:t>
      </w:r>
    </w:p>
    <w:p w14:paraId="0F297549" w14:textId="77777777" w:rsidR="00827728" w:rsidRPr="00BC044B" w:rsidRDefault="00827728" w:rsidP="00827728">
      <w:pPr>
        <w:pStyle w:val="Ingenmellomrom"/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Riggplanen skal vise plassering av:</w:t>
      </w:r>
    </w:p>
    <w:p w14:paraId="44852C6A" w14:textId="77777777" w:rsidR="00827728" w:rsidRPr="00BC044B" w:rsidRDefault="00827728" w:rsidP="000F5A5D">
      <w:pPr>
        <w:pStyle w:val="Ingenmellomrom"/>
        <w:numPr>
          <w:ilvl w:val="0"/>
          <w:numId w:val="17"/>
        </w:num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Adkomst</w:t>
      </w:r>
    </w:p>
    <w:p w14:paraId="4405AF81" w14:textId="77777777" w:rsidR="00827728" w:rsidRPr="00BC044B" w:rsidRDefault="00827728" w:rsidP="000F5A5D">
      <w:pPr>
        <w:pStyle w:val="Ingenmellomrom"/>
        <w:numPr>
          <w:ilvl w:val="0"/>
          <w:numId w:val="17"/>
        </w:num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Parkering</w:t>
      </w:r>
    </w:p>
    <w:p w14:paraId="292ACF44" w14:textId="77777777" w:rsidR="00827728" w:rsidRPr="00BC044B" w:rsidRDefault="00827728" w:rsidP="000F5A5D">
      <w:pPr>
        <w:pStyle w:val="Ingenmellomrom"/>
        <w:numPr>
          <w:ilvl w:val="0"/>
          <w:numId w:val="17"/>
        </w:num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Byggeplassgjerde</w:t>
      </w:r>
    </w:p>
    <w:p w14:paraId="6A5E30A7" w14:textId="77777777" w:rsidR="00827728" w:rsidRPr="00BC044B" w:rsidRDefault="00827728" w:rsidP="000F5A5D">
      <w:pPr>
        <w:pStyle w:val="Ingenmellomrom"/>
        <w:numPr>
          <w:ilvl w:val="0"/>
          <w:numId w:val="17"/>
        </w:num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 xml:space="preserve">Arealer til lagring, transport, kraner heiser </w:t>
      </w:r>
      <w:proofErr w:type="spellStart"/>
      <w:r w:rsidRPr="00BC044B">
        <w:rPr>
          <w:rFonts w:eastAsia="Trebuchet MS" w:cs="Arial"/>
          <w:szCs w:val="20"/>
        </w:rPr>
        <w:t>etc</w:t>
      </w:r>
      <w:proofErr w:type="spellEnd"/>
      <w:r w:rsidRPr="00BC044B">
        <w:rPr>
          <w:rFonts w:eastAsia="Trebuchet MS" w:cs="Arial"/>
          <w:szCs w:val="20"/>
        </w:rPr>
        <w:t>, brakker og lagre, avfallscontainere.</w:t>
      </w:r>
    </w:p>
    <w:p w14:paraId="3A7D656A" w14:textId="77777777" w:rsidR="00827728" w:rsidRPr="00BC044B" w:rsidRDefault="00827728" w:rsidP="000F5A5D">
      <w:pPr>
        <w:pStyle w:val="Ingenmellomrom"/>
        <w:numPr>
          <w:ilvl w:val="0"/>
          <w:numId w:val="17"/>
        </w:num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Spesielle beskyttelsestiltak</w:t>
      </w:r>
    </w:p>
    <w:p w14:paraId="77A858D0" w14:textId="77777777" w:rsidR="00827728" w:rsidRPr="000F5A5D" w:rsidRDefault="00827728" w:rsidP="00827728">
      <w:pPr>
        <w:pStyle w:val="Ingenmellomrom"/>
        <w:numPr>
          <w:ilvl w:val="0"/>
          <w:numId w:val="17"/>
        </w:numPr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Plassering av førstehjelpsutstyr</w:t>
      </w:r>
    </w:p>
    <w:p w14:paraId="10642471" w14:textId="77777777" w:rsidR="00827728" w:rsidRPr="00BC044B" w:rsidRDefault="00827728" w:rsidP="00827728">
      <w:pPr>
        <w:pStyle w:val="Ingenmellomrom"/>
        <w:rPr>
          <w:rFonts w:eastAsia="Trebuchet MS" w:cs="Arial"/>
          <w:szCs w:val="20"/>
        </w:rPr>
      </w:pPr>
      <w:r w:rsidRPr="00BC044B">
        <w:rPr>
          <w:rFonts w:eastAsia="Trebuchet MS" w:cs="Arial"/>
          <w:szCs w:val="20"/>
        </w:rPr>
        <w:t>Riggplanen skal forelegges byggherren for godkjenning.</w:t>
      </w:r>
    </w:p>
    <w:p w14:paraId="6CD6C6B5" w14:textId="77777777" w:rsidR="00827728" w:rsidRDefault="00827728" w:rsidP="00827728"/>
    <w:p w14:paraId="06920EC9" w14:textId="3ED961AF" w:rsidR="00827728" w:rsidRDefault="00827728" w:rsidP="00827728">
      <w:pPr>
        <w:pStyle w:val="Overskrift3"/>
        <w:numPr>
          <w:ilvl w:val="2"/>
          <w:numId w:val="1"/>
        </w:numPr>
      </w:pPr>
      <w:bookmarkStart w:id="14" w:name="_Toc103935326"/>
      <w:r>
        <w:t>Sikring/inngjerding</w:t>
      </w:r>
      <w:bookmarkEnd w:id="14"/>
    </w:p>
    <w:p w14:paraId="2C4DE068" w14:textId="77777777" w:rsidR="00827728" w:rsidRDefault="00827728" w:rsidP="00827728">
      <w:r w:rsidRPr="00827728">
        <w:t>Byggeplassen og riggområde skal være forsvarlig sikret og inngjerdet.</w:t>
      </w:r>
    </w:p>
    <w:p w14:paraId="42A6AFC7" w14:textId="051A1A78" w:rsidR="00827728" w:rsidRDefault="00827728" w:rsidP="00827728">
      <w:pPr>
        <w:pStyle w:val="Overskrift3"/>
        <w:numPr>
          <w:ilvl w:val="2"/>
          <w:numId w:val="1"/>
        </w:numPr>
      </w:pPr>
      <w:bookmarkStart w:id="15" w:name="_Toc103935327"/>
      <w:r>
        <w:t>Snørydding</w:t>
      </w:r>
      <w:bookmarkEnd w:id="15"/>
    </w:p>
    <w:p w14:paraId="0FB22F66" w14:textId="77777777" w:rsidR="00827728" w:rsidRPr="00BC044B" w:rsidRDefault="00827728" w:rsidP="00827728">
      <w:pPr>
        <w:rPr>
          <w:rFonts w:cs="Arial"/>
        </w:rPr>
      </w:pPr>
      <w:r w:rsidRPr="00BC044B">
        <w:rPr>
          <w:rFonts w:cs="Arial"/>
        </w:rPr>
        <w:t>I tillegg til vinterarbeider på selve byggeplassen skal entreprenøren, sørge for snørydding av riggområde og område for avfallskontainere.</w:t>
      </w:r>
    </w:p>
    <w:p w14:paraId="41D1282F" w14:textId="7DA9CAD9" w:rsidR="00827728" w:rsidRDefault="00827728" w:rsidP="00827728">
      <w:pPr>
        <w:pStyle w:val="Overskrift2"/>
        <w:numPr>
          <w:ilvl w:val="1"/>
          <w:numId w:val="1"/>
        </w:numPr>
      </w:pPr>
      <w:bookmarkStart w:id="16" w:name="_Toc103935328"/>
      <w:r>
        <w:t>Helse, miljø og sikkerhet</w:t>
      </w:r>
      <w:bookmarkEnd w:id="16"/>
    </w:p>
    <w:p w14:paraId="0FFF5B88" w14:textId="22B884FE" w:rsidR="00827728" w:rsidRDefault="00827728" w:rsidP="00827728">
      <w:pPr>
        <w:pStyle w:val="Overskrift3"/>
        <w:numPr>
          <w:ilvl w:val="2"/>
          <w:numId w:val="1"/>
        </w:numPr>
      </w:pPr>
      <w:bookmarkStart w:id="17" w:name="_Toc103935329"/>
      <w:r>
        <w:t>Helse og miljøfarlige stoffer</w:t>
      </w:r>
      <w:bookmarkEnd w:id="17"/>
    </w:p>
    <w:p w14:paraId="52673CAF" w14:textId="77777777" w:rsidR="00827728" w:rsidRPr="00BC044B" w:rsidRDefault="00827728" w:rsidP="00827728">
      <w:r w:rsidRPr="00BC044B">
        <w:rPr>
          <w:rFonts w:cs="Arial"/>
        </w:rPr>
        <w:t>Entreprenøren pålegges å følge alle relevante forskrifter i forbindelse med rivnings og rehabiliteringsarbeidene samt vise aktsomhet ved eventuelle skjulte miljøfarlige stoffer</w:t>
      </w:r>
      <w:r w:rsidRPr="00BC044B">
        <w:t>.</w:t>
      </w:r>
    </w:p>
    <w:p w14:paraId="5D8FDBF7" w14:textId="214E8BF5" w:rsidR="00827728" w:rsidRDefault="00827728" w:rsidP="00C8448B">
      <w:pPr>
        <w:pStyle w:val="Overskrift3"/>
        <w:numPr>
          <w:ilvl w:val="2"/>
          <w:numId w:val="1"/>
        </w:numPr>
      </w:pPr>
      <w:bookmarkStart w:id="18" w:name="_Toc103935330"/>
      <w:r>
        <w:t>HMS-generelt</w:t>
      </w:r>
      <w:bookmarkEnd w:id="18"/>
    </w:p>
    <w:p w14:paraId="72F67D20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 xml:space="preserve">Både under prosjekteringen og produksjonen skal arbeidene organiseres og utføres i henhold til "forskrift om sikkerhet, helse og arbeidsmiljø på bygge- og anleggsplasser" fastsatt ved </w:t>
      </w:r>
      <w:proofErr w:type="gramStart"/>
      <w:r w:rsidRPr="00BC044B">
        <w:rPr>
          <w:rFonts w:cs="Arial"/>
        </w:rPr>
        <w:t>kgl. res.</w:t>
      </w:r>
      <w:proofErr w:type="gramEnd"/>
      <w:r w:rsidRPr="00BC044B">
        <w:rPr>
          <w:rFonts w:cs="Arial"/>
        </w:rPr>
        <w:t xml:space="preserve"> av </w:t>
      </w:r>
      <w:r w:rsidR="00C50DDE">
        <w:rPr>
          <w:rFonts w:cs="Arial"/>
        </w:rPr>
        <w:t>3</w:t>
      </w:r>
      <w:r w:rsidRPr="00BC044B">
        <w:rPr>
          <w:rFonts w:cs="Arial"/>
        </w:rPr>
        <w:t>. a</w:t>
      </w:r>
      <w:r w:rsidR="00C50DDE">
        <w:rPr>
          <w:rFonts w:cs="Arial"/>
        </w:rPr>
        <w:t>ugust</w:t>
      </w:r>
      <w:r w:rsidRPr="00BC044B">
        <w:rPr>
          <w:rFonts w:cs="Arial"/>
        </w:rPr>
        <w:t xml:space="preserve"> </w:t>
      </w:r>
      <w:r w:rsidR="00C50DDE">
        <w:rPr>
          <w:rFonts w:cs="Arial"/>
        </w:rPr>
        <w:t>2008</w:t>
      </w:r>
      <w:r w:rsidRPr="00BC044B">
        <w:rPr>
          <w:rFonts w:cs="Arial"/>
        </w:rPr>
        <w:t xml:space="preserve"> i medhold av lov av </w:t>
      </w:r>
      <w:r w:rsidR="00BA07B7">
        <w:rPr>
          <w:rFonts w:cs="Arial"/>
        </w:rPr>
        <w:t>17</w:t>
      </w:r>
      <w:r w:rsidRPr="00BC044B">
        <w:rPr>
          <w:rFonts w:cs="Arial"/>
        </w:rPr>
        <w:t xml:space="preserve">. </w:t>
      </w:r>
      <w:r w:rsidR="00BA07B7">
        <w:rPr>
          <w:rFonts w:cs="Arial"/>
        </w:rPr>
        <w:t>juni</w:t>
      </w:r>
      <w:r w:rsidRPr="00BC044B">
        <w:rPr>
          <w:rFonts w:cs="Arial"/>
        </w:rPr>
        <w:t xml:space="preserve"> </w:t>
      </w:r>
      <w:r w:rsidR="00BA07B7">
        <w:rPr>
          <w:rFonts w:cs="Arial"/>
        </w:rPr>
        <w:t>2005</w:t>
      </w:r>
      <w:r w:rsidRPr="00BC044B">
        <w:rPr>
          <w:rFonts w:cs="Arial"/>
        </w:rPr>
        <w:t>. (Byggherreforskriften).</w:t>
      </w:r>
    </w:p>
    <w:p w14:paraId="752B3221" w14:textId="2CABE17E" w:rsidR="00C8448B" w:rsidRDefault="00C8448B" w:rsidP="00C8448B">
      <w:pPr>
        <w:pStyle w:val="Overskrift2"/>
        <w:numPr>
          <w:ilvl w:val="2"/>
          <w:numId w:val="1"/>
        </w:numPr>
      </w:pPr>
      <w:bookmarkStart w:id="19" w:name="_Toc103935331"/>
      <w:r>
        <w:t>Anleggsmiljø</w:t>
      </w:r>
      <w:bookmarkEnd w:id="19"/>
    </w:p>
    <w:p w14:paraId="152EFF6C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Entreprenørene plikter i byggetiden å sørge for:</w:t>
      </w:r>
    </w:p>
    <w:p w14:paraId="47098735" w14:textId="77777777" w:rsidR="00C8448B" w:rsidRPr="00BC044B" w:rsidRDefault="00C8448B" w:rsidP="00444ED9">
      <w:pPr>
        <w:pStyle w:val="Ingenmellomrom"/>
        <w:numPr>
          <w:ilvl w:val="0"/>
          <w:numId w:val="18"/>
        </w:numPr>
        <w:rPr>
          <w:rFonts w:cs="Arial"/>
        </w:rPr>
      </w:pPr>
      <w:r w:rsidRPr="00BC044B">
        <w:rPr>
          <w:rFonts w:cs="Arial"/>
        </w:rPr>
        <w:t>Tiltak skal iverksettes for å begrense problemer med støv/støy og vibrasjoner.</w:t>
      </w:r>
    </w:p>
    <w:p w14:paraId="5394E634" w14:textId="77777777" w:rsidR="00C8448B" w:rsidRPr="00BC044B" w:rsidRDefault="00C8448B" w:rsidP="00444ED9">
      <w:pPr>
        <w:pStyle w:val="Ingenmellomrom"/>
        <w:numPr>
          <w:ilvl w:val="0"/>
          <w:numId w:val="18"/>
        </w:numPr>
        <w:rPr>
          <w:rFonts w:cs="Arial"/>
        </w:rPr>
      </w:pPr>
      <w:r w:rsidRPr="00BC044B">
        <w:rPr>
          <w:rFonts w:cs="Arial"/>
        </w:rPr>
        <w:t>Ved perioder med spesielt høyt nivå på støv/støy/vibrasjoner skal byggherre varsles.</w:t>
      </w:r>
    </w:p>
    <w:p w14:paraId="12502C97" w14:textId="77777777" w:rsidR="00C8448B" w:rsidRPr="00BC044B" w:rsidRDefault="00C8448B" w:rsidP="00444ED9">
      <w:pPr>
        <w:pStyle w:val="Ingenmellomrom"/>
        <w:numPr>
          <w:ilvl w:val="0"/>
          <w:numId w:val="18"/>
        </w:numPr>
        <w:rPr>
          <w:rFonts w:cs="Arial"/>
        </w:rPr>
      </w:pPr>
      <w:r w:rsidRPr="00BC044B">
        <w:rPr>
          <w:rFonts w:cs="Arial"/>
        </w:rPr>
        <w:t>Dersom det viser seg behov skal det iverksettes tiltak for å begrense støvspredning og det vil</w:t>
      </w:r>
      <w:r w:rsidR="00444ED9">
        <w:rPr>
          <w:rFonts w:cs="Arial"/>
        </w:rPr>
        <w:t xml:space="preserve"> </w:t>
      </w:r>
      <w:r w:rsidRPr="00BC044B">
        <w:rPr>
          <w:rFonts w:cs="Arial"/>
        </w:rPr>
        <w:t xml:space="preserve">bli krevd at tilgrisede bygninger, veier </w:t>
      </w:r>
      <w:proofErr w:type="spellStart"/>
      <w:r w:rsidRPr="00BC044B">
        <w:rPr>
          <w:rFonts w:cs="Arial"/>
        </w:rPr>
        <w:t>etc</w:t>
      </w:r>
      <w:proofErr w:type="spellEnd"/>
      <w:r w:rsidRPr="00BC044B">
        <w:rPr>
          <w:rFonts w:cs="Arial"/>
        </w:rPr>
        <w:t xml:space="preserve"> rengjøres.</w:t>
      </w:r>
    </w:p>
    <w:p w14:paraId="28CB4C36" w14:textId="77777777" w:rsidR="00C8448B" w:rsidRPr="00BC044B" w:rsidRDefault="00C8448B" w:rsidP="00444ED9">
      <w:pPr>
        <w:pStyle w:val="Ingenmellomrom"/>
        <w:numPr>
          <w:ilvl w:val="0"/>
          <w:numId w:val="18"/>
        </w:numPr>
        <w:rPr>
          <w:rFonts w:cs="Arial"/>
        </w:rPr>
      </w:pPr>
      <w:r w:rsidRPr="00BC044B">
        <w:rPr>
          <w:rFonts w:cs="Arial"/>
        </w:rPr>
        <w:t>Støy skal ikke overskride SFT/s normer.</w:t>
      </w:r>
    </w:p>
    <w:p w14:paraId="1A3785AB" w14:textId="77777777" w:rsidR="00C8448B" w:rsidRPr="00BC044B" w:rsidRDefault="00C8448B" w:rsidP="00444ED9">
      <w:pPr>
        <w:pStyle w:val="Ingenmellomrom"/>
        <w:numPr>
          <w:ilvl w:val="0"/>
          <w:numId w:val="18"/>
        </w:numPr>
        <w:rPr>
          <w:rFonts w:cs="Arial"/>
        </w:rPr>
      </w:pPr>
      <w:r w:rsidRPr="00BC044B">
        <w:rPr>
          <w:rFonts w:cs="Arial"/>
        </w:rPr>
        <w:t xml:space="preserve">Utslipp fra maskiner, kjøretøyer </w:t>
      </w:r>
      <w:proofErr w:type="spellStart"/>
      <w:r w:rsidRPr="00BC044B">
        <w:rPr>
          <w:rFonts w:cs="Arial"/>
        </w:rPr>
        <w:t>etc</w:t>
      </w:r>
      <w:proofErr w:type="spellEnd"/>
      <w:r w:rsidRPr="00BC044B">
        <w:rPr>
          <w:rFonts w:cs="Arial"/>
        </w:rPr>
        <w:t xml:space="preserve"> skal begrenses.</w:t>
      </w:r>
    </w:p>
    <w:p w14:paraId="5F0FA0A0" w14:textId="77777777" w:rsidR="00C8448B" w:rsidRPr="00BC044B" w:rsidRDefault="00C8448B" w:rsidP="00444ED9">
      <w:pPr>
        <w:pStyle w:val="Ingenmellomrom"/>
        <w:numPr>
          <w:ilvl w:val="0"/>
          <w:numId w:val="18"/>
        </w:numPr>
        <w:rPr>
          <w:rFonts w:cs="Arial"/>
        </w:rPr>
      </w:pPr>
      <w:r w:rsidRPr="00BC044B">
        <w:rPr>
          <w:rFonts w:cs="Arial"/>
        </w:rPr>
        <w:t xml:space="preserve">Plan for trafikkavvikling og parkering skal utarbeides. </w:t>
      </w:r>
    </w:p>
    <w:p w14:paraId="7591FA1B" w14:textId="77777777" w:rsidR="00C8448B" w:rsidRPr="00BC044B" w:rsidRDefault="00C8448B" w:rsidP="00444ED9">
      <w:pPr>
        <w:pStyle w:val="Ingenmellomrom"/>
        <w:numPr>
          <w:ilvl w:val="0"/>
          <w:numId w:val="18"/>
        </w:numPr>
        <w:rPr>
          <w:rFonts w:cs="Arial"/>
        </w:rPr>
      </w:pPr>
      <w:r w:rsidRPr="00BC044B">
        <w:rPr>
          <w:rFonts w:cs="Arial"/>
        </w:rPr>
        <w:t xml:space="preserve">Plan for områdebelysning utarbeides. Belysningen skal ikke forstyrre den daglige driften av sykehuset.  </w:t>
      </w:r>
    </w:p>
    <w:p w14:paraId="7C34D1CB" w14:textId="77777777" w:rsidR="00C8448B" w:rsidRDefault="00C8448B" w:rsidP="00C8448B">
      <w:pPr>
        <w:pStyle w:val="Ingenmellomrom"/>
      </w:pPr>
    </w:p>
    <w:p w14:paraId="11615FD8" w14:textId="72900FA9" w:rsidR="00C8448B" w:rsidRDefault="00C8448B" w:rsidP="00C8448B">
      <w:pPr>
        <w:pStyle w:val="Overskrift2"/>
        <w:numPr>
          <w:ilvl w:val="2"/>
          <w:numId w:val="1"/>
        </w:numPr>
      </w:pPr>
      <w:bookmarkStart w:id="20" w:name="_Toc103935332"/>
      <w:r>
        <w:t>Renhold</w:t>
      </w:r>
      <w:bookmarkEnd w:id="20"/>
    </w:p>
    <w:p w14:paraId="5FA6A820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For dette prosjektet skal byggerenholdet utføres etter RENT BYGG-modellen basert på RENT BYGG- håndboken fra RIF/</w:t>
      </w:r>
      <w:proofErr w:type="spellStart"/>
      <w:r w:rsidRPr="00BC044B">
        <w:rPr>
          <w:rFonts w:cs="Arial"/>
        </w:rPr>
        <w:t>NVEF</w:t>
      </w:r>
      <w:proofErr w:type="spellEnd"/>
      <w:r w:rsidRPr="00BC044B">
        <w:rPr>
          <w:rFonts w:cs="Arial"/>
        </w:rPr>
        <w:t>.</w:t>
      </w:r>
    </w:p>
    <w:p w14:paraId="178CB87B" w14:textId="77777777" w:rsidR="00C8448B" w:rsidRPr="00BC044B" w:rsidRDefault="00C8448B" w:rsidP="00C8448B">
      <w:pPr>
        <w:pStyle w:val="Ingenmellomrom"/>
        <w:rPr>
          <w:rFonts w:cs="Arial"/>
        </w:rPr>
      </w:pPr>
    </w:p>
    <w:p w14:paraId="0C8E0CE5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 xml:space="preserve">Kontinuerlig rydding og rengjøring under og etter egne arbeider. </w:t>
      </w:r>
    </w:p>
    <w:p w14:paraId="4091683C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Etablere beskyttelse av egne installasjoner og arbeider</w:t>
      </w:r>
    </w:p>
    <w:p w14:paraId="2558A4BC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Rengjøre alle overflater og installasjoner før de bygges inn.</w:t>
      </w:r>
    </w:p>
    <w:p w14:paraId="54B47917" w14:textId="77777777" w:rsidR="00C8448B" w:rsidRDefault="00C8448B" w:rsidP="00C8448B">
      <w:pPr>
        <w:pStyle w:val="Ingenmellomrom"/>
      </w:pPr>
    </w:p>
    <w:p w14:paraId="2A965B6C" w14:textId="4B814BC8" w:rsidR="00C8448B" w:rsidRDefault="00C8448B" w:rsidP="00C8448B">
      <w:pPr>
        <w:pStyle w:val="Overskrift2"/>
        <w:numPr>
          <w:ilvl w:val="2"/>
          <w:numId w:val="1"/>
        </w:numPr>
      </w:pPr>
      <w:bookmarkStart w:id="21" w:name="_Toc103935333"/>
      <w:r>
        <w:t>Avfallshåndtering</w:t>
      </w:r>
      <w:bookmarkEnd w:id="21"/>
    </w:p>
    <w:p w14:paraId="653DFF92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 xml:space="preserve">Entreprenør skal </w:t>
      </w:r>
      <w:proofErr w:type="gramStart"/>
      <w:r w:rsidRPr="00BC044B">
        <w:rPr>
          <w:rFonts w:cs="Arial"/>
        </w:rPr>
        <w:t>besørge</w:t>
      </w:r>
      <w:proofErr w:type="gramEnd"/>
      <w:r w:rsidRPr="00BC044B">
        <w:rPr>
          <w:rFonts w:cs="Arial"/>
        </w:rPr>
        <w:t xml:space="preserve"> avfallshåndteringen i prosjektet.</w:t>
      </w:r>
    </w:p>
    <w:p w14:paraId="16826CDE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 xml:space="preserve">Entreprenør skal </w:t>
      </w:r>
      <w:proofErr w:type="gramStart"/>
      <w:r w:rsidRPr="00BC044B">
        <w:rPr>
          <w:rFonts w:cs="Arial"/>
        </w:rPr>
        <w:t>besørge</w:t>
      </w:r>
      <w:proofErr w:type="gramEnd"/>
      <w:r w:rsidRPr="00BC044B">
        <w:rPr>
          <w:rFonts w:cs="Arial"/>
        </w:rPr>
        <w:t xml:space="preserve"> containere for avfall plassert på avtalt sted på byggeplassen.</w:t>
      </w:r>
    </w:p>
    <w:p w14:paraId="2497388C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Avfall skal være kildesortert og bringes til godkjent avfallsdeponi.</w:t>
      </w:r>
    </w:p>
    <w:p w14:paraId="586119AA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Avfall fra riggen skal sorteres i henhold til de kommunale forskrifter for husholdningsavfall.</w:t>
      </w:r>
    </w:p>
    <w:p w14:paraId="2022818D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Fjerning av eventuell asbest skal kun utføres av firmaer som har godkjenning hos arbeidstilsynet.</w:t>
      </w:r>
    </w:p>
    <w:p w14:paraId="66D0BC30" w14:textId="77777777" w:rsidR="00C8448B" w:rsidRPr="00BC044B" w:rsidRDefault="00C8448B" w:rsidP="00C8448B">
      <w:pPr>
        <w:pStyle w:val="Ingenmellomrom"/>
        <w:rPr>
          <w:rFonts w:cs="Arial"/>
        </w:rPr>
      </w:pPr>
    </w:p>
    <w:p w14:paraId="70D05F97" w14:textId="77777777" w:rsidR="00C8448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Fjerning av alt avfall skal dokumenteres og behandles i he</w:t>
      </w:r>
      <w:r w:rsidR="002D647C">
        <w:rPr>
          <w:rFonts w:cs="Arial"/>
        </w:rPr>
        <w:t>nhold til kommunale forskrifter.</w:t>
      </w:r>
    </w:p>
    <w:p w14:paraId="04F0221D" w14:textId="77777777" w:rsidR="002D647C" w:rsidRPr="00BC044B" w:rsidRDefault="002D647C" w:rsidP="00C8448B">
      <w:pPr>
        <w:pStyle w:val="Ingenmellomrom"/>
        <w:rPr>
          <w:rFonts w:cs="Arial"/>
        </w:rPr>
      </w:pPr>
    </w:p>
    <w:p w14:paraId="0B596890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 xml:space="preserve">Det er </w:t>
      </w:r>
      <w:r w:rsidR="00464AB1" w:rsidRPr="00BC044B">
        <w:rPr>
          <w:rFonts w:cs="Arial"/>
        </w:rPr>
        <w:t>hver enkelt entreprenør</w:t>
      </w:r>
      <w:r w:rsidRPr="00BC044B">
        <w:rPr>
          <w:rFonts w:cs="Arial"/>
        </w:rPr>
        <w:t xml:space="preserve"> sitt ansvar å bringe eget bygningsavfall ferdig sortert ned i container plassert av entreprenør for bygningsmessige arbeider.</w:t>
      </w:r>
    </w:p>
    <w:p w14:paraId="000D0E5E" w14:textId="77777777" w:rsidR="00C8448B" w:rsidRPr="00BC044B" w:rsidRDefault="00C8448B" w:rsidP="00C8448B">
      <w:pPr>
        <w:pStyle w:val="Ingenmellomrom"/>
        <w:rPr>
          <w:rFonts w:cs="Arial"/>
        </w:rPr>
      </w:pPr>
    </w:p>
    <w:p w14:paraId="0FECEC84" w14:textId="77777777" w:rsidR="00C8448B" w:rsidRPr="00BC044B" w:rsidRDefault="00C8448B" w:rsidP="00C8448B">
      <w:pPr>
        <w:pStyle w:val="Ingenmellomrom"/>
        <w:rPr>
          <w:rFonts w:cs="Arial"/>
        </w:rPr>
      </w:pPr>
      <w:r w:rsidRPr="00BC044B">
        <w:rPr>
          <w:rFonts w:cs="Arial"/>
        </w:rPr>
        <w:t>Avfallscontainere skal være låsbare.</w:t>
      </w:r>
    </w:p>
    <w:p w14:paraId="0F3A388F" w14:textId="77777777" w:rsidR="00C8448B" w:rsidRDefault="00C8448B" w:rsidP="00C8448B">
      <w:pPr>
        <w:pStyle w:val="Ingenmellomrom"/>
        <w:rPr>
          <w:rFonts w:ascii="Arial" w:hAnsi="Arial" w:cs="Arial"/>
          <w:sz w:val="20"/>
          <w:szCs w:val="20"/>
        </w:rPr>
      </w:pPr>
    </w:p>
    <w:p w14:paraId="47987459" w14:textId="2429F11C" w:rsidR="00C8448B" w:rsidRDefault="00C8448B" w:rsidP="00C8448B">
      <w:pPr>
        <w:pStyle w:val="Overskrift2"/>
        <w:numPr>
          <w:ilvl w:val="2"/>
          <w:numId w:val="1"/>
        </w:numPr>
      </w:pPr>
      <w:bookmarkStart w:id="22" w:name="_Toc103935334"/>
      <w:r>
        <w:t>Tørt bygg</w:t>
      </w:r>
      <w:bookmarkEnd w:id="22"/>
    </w:p>
    <w:p w14:paraId="3EB45D08" w14:textId="77777777" w:rsidR="00C8448B" w:rsidRPr="00C8448B" w:rsidRDefault="00C8448B" w:rsidP="00C8448B">
      <w:pPr>
        <w:pStyle w:val="Ingenmellomrom"/>
      </w:pPr>
      <w:r w:rsidRPr="00C8448B">
        <w:t>Det skal legges opp til en byggeprosess som muliggjør at alle konstruksjoner som bygges inn skal være tørre.</w:t>
      </w:r>
    </w:p>
    <w:p w14:paraId="2861D659" w14:textId="77777777" w:rsidR="00C8448B" w:rsidRPr="00C8448B" w:rsidRDefault="00C8448B" w:rsidP="00C8448B">
      <w:pPr>
        <w:pStyle w:val="Ingenmellomrom"/>
      </w:pPr>
      <w:r w:rsidRPr="00C8448B">
        <w:t xml:space="preserve">Eventuell fukt skal tørkes ut før </w:t>
      </w:r>
      <w:proofErr w:type="spellStart"/>
      <w:r w:rsidRPr="00C8448B">
        <w:t>innebygging</w:t>
      </w:r>
      <w:proofErr w:type="spellEnd"/>
      <w:r w:rsidRPr="00C8448B">
        <w:t>. Eventuelt vil det bli krevd dokumentasjon på at konstruksjoner er tilstrekkelig tørre.</w:t>
      </w:r>
    </w:p>
    <w:p w14:paraId="4C68D106" w14:textId="77777777" w:rsidR="00C8448B" w:rsidRPr="00C8448B" w:rsidRDefault="00C8448B" w:rsidP="00C8448B">
      <w:pPr>
        <w:pStyle w:val="Ingenmellomrom"/>
      </w:pPr>
      <w:r w:rsidRPr="00C8448B">
        <w:t>All lagring av materialer skal skje tørt.</w:t>
      </w:r>
    </w:p>
    <w:p w14:paraId="6C27B1F6" w14:textId="77777777" w:rsidR="00C8448B" w:rsidRPr="00C8448B" w:rsidRDefault="00C8448B" w:rsidP="00C8448B">
      <w:pPr>
        <w:pStyle w:val="Ingenmellomrom"/>
      </w:pPr>
      <w:r w:rsidRPr="00C8448B">
        <w:t>Alle materialer som tilføres byggeplassen skal ha en RF i henhold til leverandørenes spesifikasjoner.</w:t>
      </w:r>
    </w:p>
    <w:p w14:paraId="49E321F4" w14:textId="77777777" w:rsidR="00C8448B" w:rsidRPr="00C8448B" w:rsidRDefault="00C8448B" w:rsidP="00C8448B">
      <w:pPr>
        <w:pStyle w:val="Ingenmellomrom"/>
      </w:pPr>
      <w:r w:rsidRPr="00C8448B">
        <w:t>Måling vil kunne bli krevd dokumentert.</w:t>
      </w:r>
    </w:p>
    <w:p w14:paraId="299A6396" w14:textId="77777777" w:rsidR="00C8448B" w:rsidRPr="00C8448B" w:rsidRDefault="00C8448B" w:rsidP="00C8448B">
      <w:pPr>
        <w:pStyle w:val="Ingenmellomrom"/>
      </w:pPr>
      <w:r w:rsidRPr="00C8448B">
        <w:t>Eventuelle lekkasjer i byggetiden skal tettes umiddelbart.</w:t>
      </w:r>
    </w:p>
    <w:p w14:paraId="22EB3215" w14:textId="77777777" w:rsidR="00C8448B" w:rsidRDefault="00C8448B" w:rsidP="00C8448B"/>
    <w:p w14:paraId="33ED1922" w14:textId="5A204AF1" w:rsidR="00C8448B" w:rsidRDefault="00C8448B" w:rsidP="00C8448B">
      <w:pPr>
        <w:pStyle w:val="Overskrift2"/>
        <w:numPr>
          <w:ilvl w:val="2"/>
          <w:numId w:val="1"/>
        </w:numPr>
      </w:pPr>
      <w:bookmarkStart w:id="23" w:name="_Toc103935335"/>
      <w:r>
        <w:t>Materialbruk</w:t>
      </w:r>
      <w:bookmarkEnd w:id="23"/>
    </w:p>
    <w:p w14:paraId="29EA0E76" w14:textId="77777777" w:rsidR="00FF7252" w:rsidRDefault="00C8448B" w:rsidP="00C8448B">
      <w:r w:rsidRPr="00C8448B">
        <w:t>Det aksepteres ikke bruk av materialer av begrensede/ikke fornybare ressurser eller regnskogtømmer.</w:t>
      </w:r>
    </w:p>
    <w:p w14:paraId="133987EE" w14:textId="32E003F5" w:rsidR="00B43BEE" w:rsidRDefault="00B43BEE" w:rsidP="00B43BEE">
      <w:pPr>
        <w:pStyle w:val="Overskrift1"/>
        <w:numPr>
          <w:ilvl w:val="0"/>
          <w:numId w:val="1"/>
        </w:numPr>
      </w:pPr>
      <w:bookmarkStart w:id="24" w:name="_Toc103935336"/>
      <w:r>
        <w:t>Dokumentasjon</w:t>
      </w:r>
      <w:bookmarkEnd w:id="24"/>
      <w:r>
        <w:t xml:space="preserve"> </w:t>
      </w:r>
    </w:p>
    <w:p w14:paraId="21207EBE" w14:textId="77777777" w:rsidR="00B43BEE" w:rsidRDefault="00B43BEE" w:rsidP="00B43BEE"/>
    <w:p w14:paraId="76AB0B39" w14:textId="323564C6" w:rsidR="00B43BEE" w:rsidRDefault="0092088C" w:rsidP="0092088C">
      <w:pPr>
        <w:pStyle w:val="Overskrift2"/>
        <w:numPr>
          <w:ilvl w:val="1"/>
          <w:numId w:val="1"/>
        </w:numPr>
      </w:pPr>
      <w:bookmarkStart w:id="25" w:name="_Toc103935337"/>
      <w:proofErr w:type="spellStart"/>
      <w:r>
        <w:t>FDV</w:t>
      </w:r>
      <w:r w:rsidR="00A43860">
        <w:t>U</w:t>
      </w:r>
      <w:bookmarkEnd w:id="25"/>
      <w:proofErr w:type="spellEnd"/>
    </w:p>
    <w:p w14:paraId="1ADA7F7F" w14:textId="77777777" w:rsidR="000C6420" w:rsidRPr="000C6420" w:rsidRDefault="000C6420" w:rsidP="000C6420">
      <w:pPr>
        <w:pStyle w:val="Ingenmellomrom"/>
      </w:pPr>
      <w:r w:rsidRPr="000C6420">
        <w:t>Entreprenørene har ansvar for endelig utarbeidelse av drifts- og vedlikeholds instrukser for egne fag. Instruksen skal leveres i 1 papirkopi og elektronisk på</w:t>
      </w:r>
      <w:r w:rsidR="00A60E16">
        <w:t xml:space="preserve"> minnepinne</w:t>
      </w:r>
      <w:r w:rsidRPr="000C6420">
        <w:t xml:space="preserve">. Systembeskrivelse utarbeides av de enkelte entreprenører som legger inn data, brosjyrer og tegninger. Systemet skal være basert på </w:t>
      </w:r>
      <w:r w:rsidRPr="000C6420">
        <w:lastRenderedPageBreak/>
        <w:t xml:space="preserve">disposisjon/oppsett i henhold til RIF 2001. </w:t>
      </w:r>
      <w:proofErr w:type="spellStart"/>
      <w:r w:rsidRPr="000C6420">
        <w:t>FDV</w:t>
      </w:r>
      <w:proofErr w:type="spellEnd"/>
      <w:r w:rsidRPr="000C6420">
        <w:t xml:space="preserve"> skal være levert senest ved overtagelse. Det henvises til krav gitt for de enkelte fag. </w:t>
      </w:r>
    </w:p>
    <w:p w14:paraId="4B59F34B" w14:textId="77777777" w:rsidR="000C6420" w:rsidRPr="000C6420" w:rsidRDefault="000C6420" w:rsidP="000C6420">
      <w:pPr>
        <w:pStyle w:val="Ingenmellomrom"/>
        <w:rPr>
          <w:u w:val="single"/>
        </w:rPr>
      </w:pPr>
      <w:r w:rsidRPr="000C6420">
        <w:rPr>
          <w:u w:val="single"/>
        </w:rPr>
        <w:t>Ikke levert eller ikke godkjent dokumentasjon regnes som en vesentlig mangel.</w:t>
      </w:r>
    </w:p>
    <w:p w14:paraId="54D75B03" w14:textId="77777777" w:rsidR="000C6420" w:rsidRPr="000C6420" w:rsidRDefault="000C6420" w:rsidP="000C6420"/>
    <w:p w14:paraId="64CB68F7" w14:textId="3860E7A8" w:rsidR="00A43860" w:rsidRDefault="00A43860" w:rsidP="00A43860">
      <w:pPr>
        <w:pStyle w:val="Overskrift3"/>
        <w:numPr>
          <w:ilvl w:val="2"/>
          <w:numId w:val="1"/>
        </w:numPr>
      </w:pPr>
      <w:bookmarkStart w:id="26" w:name="_Toc103935338"/>
      <w:r>
        <w:t xml:space="preserve">Filnavn på </w:t>
      </w:r>
      <w:proofErr w:type="spellStart"/>
      <w:r>
        <w:t>FDVU</w:t>
      </w:r>
      <w:proofErr w:type="spellEnd"/>
      <w:r>
        <w:rPr>
          <w:rFonts w:ascii="Cambria Math" w:hAnsi="Cambria Math" w:cs="Cambria Math"/>
        </w:rPr>
        <w:t>‐</w:t>
      </w:r>
      <w:r>
        <w:t>dokumentasjon:</w:t>
      </w:r>
      <w:bookmarkEnd w:id="26"/>
    </w:p>
    <w:p w14:paraId="6A86B4A1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Korte og entydige filnavn, produktnavn og produktbetegnelse kan med fordel brukes som filnavn.</w:t>
      </w:r>
    </w:p>
    <w:p w14:paraId="4CCC69B7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Filnavnet skal si noe om hva dokumentet inneholder. Alternativt kan det beskrives hva vedlegget</w:t>
      </w:r>
    </w:p>
    <w:p w14:paraId="59007A87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 xml:space="preserve">inneholder i beskrivelsesfeltet. </w:t>
      </w:r>
    </w:p>
    <w:p w14:paraId="02698036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 xml:space="preserve">Spesialtegn som + /= æ ø å etc. brukes ikke i filnavn, </w:t>
      </w:r>
      <w:proofErr w:type="spellStart"/>
      <w:r w:rsidRPr="00BC044B">
        <w:rPr>
          <w:rFonts w:cs="Arial"/>
        </w:rPr>
        <w:t>url</w:t>
      </w:r>
      <w:r w:rsidR="00DB1678">
        <w:rPr>
          <w:rFonts w:cs="Arial"/>
        </w:rPr>
        <w:t>’</w:t>
      </w:r>
      <w:r w:rsidRPr="00BC044B">
        <w:rPr>
          <w:rFonts w:cs="Arial"/>
        </w:rPr>
        <w:t>er</w:t>
      </w:r>
      <w:proofErr w:type="spellEnd"/>
      <w:r w:rsidRPr="00BC044B">
        <w:rPr>
          <w:rFonts w:cs="Arial"/>
        </w:rPr>
        <w:t xml:space="preserve"> og </w:t>
      </w:r>
      <w:proofErr w:type="spellStart"/>
      <w:r w:rsidRPr="00BC044B">
        <w:rPr>
          <w:rFonts w:cs="Arial"/>
        </w:rPr>
        <w:t>zippede</w:t>
      </w:r>
      <w:proofErr w:type="spellEnd"/>
      <w:r w:rsidRPr="00BC044B">
        <w:rPr>
          <w:rFonts w:cs="Arial"/>
        </w:rPr>
        <w:t xml:space="preserve"> filer skal ikke brukes uten</w:t>
      </w:r>
    </w:p>
    <w:p w14:paraId="24685210" w14:textId="77777777" w:rsidR="00A43860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godkjenning, kataloger og typiske salgsbrosjyrer er ikke godkjent dokumentasjon.</w:t>
      </w:r>
    </w:p>
    <w:p w14:paraId="5120FD5D" w14:textId="77777777" w:rsidR="00B65E95" w:rsidRPr="00BC044B" w:rsidRDefault="00B65E95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A4C98D" w14:textId="6476EA7C" w:rsidR="00A43860" w:rsidRPr="00A43860" w:rsidRDefault="00A43860" w:rsidP="00A43860">
      <w:pPr>
        <w:pStyle w:val="Overskrift3"/>
        <w:numPr>
          <w:ilvl w:val="2"/>
          <w:numId w:val="1"/>
        </w:numPr>
      </w:pPr>
      <w:bookmarkStart w:id="27" w:name="_Toc103935339"/>
      <w:r w:rsidRPr="00A43860">
        <w:t xml:space="preserve">Språk på innlagt </w:t>
      </w:r>
      <w:proofErr w:type="spellStart"/>
      <w:r w:rsidRPr="00A43860">
        <w:t>FDVU</w:t>
      </w:r>
      <w:proofErr w:type="spellEnd"/>
      <w:r w:rsidRPr="00A43860">
        <w:t>‐dokumentasjon:</w:t>
      </w:r>
      <w:bookmarkEnd w:id="27"/>
    </w:p>
    <w:p w14:paraId="41D50E39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</w:pPr>
      <w:r w:rsidRPr="00BC044B">
        <w:t>Dokumentasjon som beskriver funksjon, vedlikehold o.l. skal være på norsk, svensk eller dansk.</w:t>
      </w:r>
    </w:p>
    <w:p w14:paraId="258F7F0B" w14:textId="77777777" w:rsidR="00A43860" w:rsidRDefault="00A43860" w:rsidP="00A43860">
      <w:pPr>
        <w:autoSpaceDE w:val="0"/>
        <w:autoSpaceDN w:val="0"/>
        <w:adjustRightInd w:val="0"/>
        <w:spacing w:after="0" w:line="240" w:lineRule="auto"/>
      </w:pPr>
      <w:r w:rsidRPr="00BC044B">
        <w:t xml:space="preserve">Dokumentasjon som beskriver tekniske </w:t>
      </w:r>
      <w:proofErr w:type="gramStart"/>
      <w:r w:rsidRPr="00BC044B">
        <w:t>spesifikasjoner</w:t>
      </w:r>
      <w:proofErr w:type="gramEnd"/>
      <w:r w:rsidRPr="00BC044B">
        <w:t xml:space="preserve"> kan være på engelsk etter avtale.</w:t>
      </w:r>
    </w:p>
    <w:p w14:paraId="0D0996C6" w14:textId="77777777" w:rsidR="00B65E95" w:rsidRPr="00BC044B" w:rsidRDefault="00B65E95" w:rsidP="00A43860">
      <w:pPr>
        <w:autoSpaceDE w:val="0"/>
        <w:autoSpaceDN w:val="0"/>
        <w:adjustRightInd w:val="0"/>
        <w:spacing w:after="0" w:line="240" w:lineRule="auto"/>
      </w:pPr>
    </w:p>
    <w:p w14:paraId="43E9F23C" w14:textId="251E00C6" w:rsidR="00A43860" w:rsidRPr="00A43860" w:rsidRDefault="00A43860" w:rsidP="00A43860">
      <w:pPr>
        <w:pStyle w:val="Overskrift3"/>
        <w:numPr>
          <w:ilvl w:val="2"/>
          <w:numId w:val="1"/>
        </w:numPr>
      </w:pPr>
      <w:bookmarkStart w:id="28" w:name="_Toc103935340"/>
      <w:r w:rsidRPr="00A43860">
        <w:t>Produktdatablader generelt:</w:t>
      </w:r>
      <w:bookmarkEnd w:id="28"/>
    </w:p>
    <w:p w14:paraId="00FECC81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</w:pPr>
      <w:r w:rsidRPr="00BC044B">
        <w:t>Produktdatabladene som legges som vedlegg skal kun omhandle det som er levert på anlegget. Hvis</w:t>
      </w:r>
    </w:p>
    <w:p w14:paraId="49F82922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</w:pPr>
      <w:r w:rsidRPr="00BC044B">
        <w:t>et produktdatablad inneholder flere produkter merkes det som er levert på det enkelte anlegg. Skannet</w:t>
      </w:r>
      <w:r w:rsidR="00EA1199">
        <w:t xml:space="preserve"> </w:t>
      </w:r>
      <w:r w:rsidRPr="00BC044B">
        <w:t>dokumentasjon blir bare godkjent hvis originaldokumentasjon ikke kan skaffes.</w:t>
      </w:r>
    </w:p>
    <w:p w14:paraId="504EE700" w14:textId="36EDE5A5" w:rsidR="00A43860" w:rsidRPr="00A43860" w:rsidRDefault="00A43860" w:rsidP="00A43860">
      <w:pPr>
        <w:pStyle w:val="Overskrift3"/>
        <w:numPr>
          <w:ilvl w:val="2"/>
          <w:numId w:val="1"/>
        </w:numPr>
      </w:pPr>
      <w:bookmarkStart w:id="29" w:name="_Toc103935341"/>
      <w:r w:rsidRPr="00A43860">
        <w:t>Dokumentasjon generelt:</w:t>
      </w:r>
      <w:bookmarkEnd w:id="29"/>
    </w:p>
    <w:p w14:paraId="7E00D4A5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 xml:space="preserve">Dokumentene skal legges inn rett vei (ikke på hodet). Dokumentene legges inn fortrinnsvis i </w:t>
      </w:r>
      <w:proofErr w:type="spellStart"/>
      <w:r w:rsidRPr="00BC044B">
        <w:rPr>
          <w:rFonts w:cs="Arial"/>
        </w:rPr>
        <w:t>pdf</w:t>
      </w:r>
      <w:proofErr w:type="spellEnd"/>
      <w:r w:rsidR="000B645D">
        <w:rPr>
          <w:rFonts w:cs="Arial"/>
        </w:rPr>
        <w:t>-</w:t>
      </w:r>
      <w:r w:rsidRPr="00BC044B">
        <w:rPr>
          <w:rFonts w:cs="Arial"/>
        </w:rPr>
        <w:t>format.</w:t>
      </w:r>
    </w:p>
    <w:p w14:paraId="00EAC27E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 xml:space="preserve">Enkelte skjemaer legges inn i </w:t>
      </w:r>
      <w:proofErr w:type="spellStart"/>
      <w:r w:rsidRPr="00BC044B">
        <w:rPr>
          <w:rFonts w:cs="Arial"/>
        </w:rPr>
        <w:t>word</w:t>
      </w:r>
      <w:proofErr w:type="spellEnd"/>
      <w:r w:rsidRPr="00BC044B">
        <w:rPr>
          <w:rFonts w:cs="Arial"/>
        </w:rPr>
        <w:t xml:space="preserve">- eller </w:t>
      </w:r>
      <w:proofErr w:type="spellStart"/>
      <w:r w:rsidR="000C6420" w:rsidRPr="00BC044B">
        <w:rPr>
          <w:rFonts w:cs="Arial"/>
        </w:rPr>
        <w:t>e</w:t>
      </w:r>
      <w:r w:rsidRPr="00BC044B">
        <w:rPr>
          <w:rFonts w:cs="Arial"/>
        </w:rPr>
        <w:t>x</w:t>
      </w:r>
      <w:r w:rsidR="000C6420" w:rsidRPr="00BC044B">
        <w:rPr>
          <w:rFonts w:cs="Arial"/>
        </w:rPr>
        <w:t>cel</w:t>
      </w:r>
      <w:proofErr w:type="spellEnd"/>
      <w:r w:rsidRPr="00BC044B">
        <w:rPr>
          <w:rFonts w:cs="Arial"/>
        </w:rPr>
        <w:t>-format. Dette gjelder de skjemaene som det er</w:t>
      </w:r>
    </w:p>
    <w:p w14:paraId="49341BB0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behov for at kan endres i ettertid ved evt. ombygginger, eks. romskjema, lås og beslag etc.</w:t>
      </w:r>
    </w:p>
    <w:p w14:paraId="6F170674" w14:textId="77777777" w:rsidR="000C6420" w:rsidRDefault="000C6420" w:rsidP="00A43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5F7B70" w14:textId="77777777" w:rsidR="00A43860" w:rsidRPr="00BC044B" w:rsidRDefault="00A43860" w:rsidP="000C6420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  <w:b/>
          <w:bCs/>
        </w:rPr>
        <w:t xml:space="preserve">Systemnivå: </w:t>
      </w:r>
      <w:r w:rsidRPr="00BC044B">
        <w:rPr>
          <w:rFonts w:cs="Arial"/>
        </w:rPr>
        <w:t>Her legges all dokumentasjon som omhandler systemet.</w:t>
      </w:r>
    </w:p>
    <w:p w14:paraId="270F55B9" w14:textId="77777777" w:rsidR="00A43860" w:rsidRPr="00BC044B" w:rsidRDefault="00A43860" w:rsidP="000C6420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  <w:b/>
          <w:bCs/>
        </w:rPr>
        <w:t xml:space="preserve">Komponentnivå: </w:t>
      </w:r>
      <w:r w:rsidRPr="00BC044B">
        <w:rPr>
          <w:rFonts w:cs="Arial"/>
        </w:rPr>
        <w:t>Her legges all dokumentasjon som omhandler hver enkelt komponent.</w:t>
      </w:r>
    </w:p>
    <w:p w14:paraId="1258727A" w14:textId="77777777" w:rsidR="000C6420" w:rsidRDefault="000C6420" w:rsidP="00A43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2C64BF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Det er viktig at det blir lagt inn dokumentasjon om vedlikehold der dette kreves slik at garantiansvar</w:t>
      </w:r>
    </w:p>
    <w:p w14:paraId="5021D697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kan ivaretas. Protokoller legges på systemnivå. KS-rapporter anses som byggesaksdokumenter og</w:t>
      </w:r>
    </w:p>
    <w:p w14:paraId="3D324B94" w14:textId="77777777" w:rsidR="00A43860" w:rsidRPr="00BC044B" w:rsidRDefault="000C642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skal ikke medtas</w:t>
      </w:r>
      <w:r w:rsidR="00A43860" w:rsidRPr="00BC044B">
        <w:rPr>
          <w:rFonts w:cs="Arial"/>
        </w:rPr>
        <w:t>. Bilder ønskes vedlagt som dokumentasjon, gjelder for eks. grøfter,</w:t>
      </w:r>
    </w:p>
    <w:p w14:paraId="4D8A35BF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 xml:space="preserve">varmekabler, installasjoner i vegger osv. </w:t>
      </w:r>
    </w:p>
    <w:p w14:paraId="4A3CB714" w14:textId="49E9AE45" w:rsidR="00A43860" w:rsidRPr="00A43860" w:rsidRDefault="00A43860" w:rsidP="00A43860">
      <w:pPr>
        <w:pStyle w:val="Overskrift3"/>
        <w:numPr>
          <w:ilvl w:val="2"/>
          <w:numId w:val="1"/>
        </w:numPr>
      </w:pPr>
      <w:bookmarkStart w:id="30" w:name="_Toc103935342"/>
      <w:proofErr w:type="spellStart"/>
      <w:r w:rsidRPr="00A43860">
        <w:t>FDVU</w:t>
      </w:r>
      <w:proofErr w:type="spellEnd"/>
      <w:r w:rsidRPr="00A43860">
        <w:t>‐dokumentasjon, spesielt:</w:t>
      </w:r>
      <w:bookmarkEnd w:id="30"/>
    </w:p>
    <w:p w14:paraId="16485A2D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Luftbehandlingssystem: Rutiner vedr. vedlikehold må legges på hvert enkelt system. Det kan under</w:t>
      </w:r>
    </w:p>
    <w:p w14:paraId="70B83701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 xml:space="preserve">vedlikeholdsrutiner henvises til </w:t>
      </w:r>
      <w:r w:rsidR="003260BE">
        <w:rPr>
          <w:rFonts w:cs="Arial"/>
        </w:rPr>
        <w:t>«</w:t>
      </w:r>
      <w:r w:rsidRPr="00BC044B">
        <w:rPr>
          <w:rFonts w:cs="Arial"/>
        </w:rPr>
        <w:t>innlagt dokumentasjon</w:t>
      </w:r>
      <w:r w:rsidR="003260BE">
        <w:rPr>
          <w:rFonts w:cs="Arial"/>
        </w:rPr>
        <w:t>»</w:t>
      </w:r>
      <w:r w:rsidRPr="00BC044B">
        <w:rPr>
          <w:rFonts w:cs="Arial"/>
        </w:rPr>
        <w:t>.</w:t>
      </w:r>
    </w:p>
    <w:p w14:paraId="66230637" w14:textId="77777777" w:rsidR="00A43860" w:rsidRPr="00BC044B" w:rsidRDefault="00A43860" w:rsidP="000C642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 xml:space="preserve">Samsvarserklæring </w:t>
      </w:r>
      <w:r w:rsidR="000C6420" w:rsidRPr="00BC044B">
        <w:rPr>
          <w:rFonts w:cs="Arial"/>
        </w:rPr>
        <w:t>og trykkprøving skal leveres</w:t>
      </w:r>
      <w:r w:rsidRPr="00BC044B">
        <w:rPr>
          <w:rFonts w:cs="Arial"/>
        </w:rPr>
        <w:t xml:space="preserve">. </w:t>
      </w:r>
    </w:p>
    <w:p w14:paraId="68B258B3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Betong: Resept på betongen ønskes lagt inn.</w:t>
      </w:r>
    </w:p>
    <w:p w14:paraId="1D01BA60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Produsent og leverandør</w:t>
      </w:r>
      <w:r w:rsidR="000C6420" w:rsidRPr="00BC044B">
        <w:rPr>
          <w:rFonts w:cs="Arial"/>
        </w:rPr>
        <w:t xml:space="preserve"> skal oppgis med firmainfo og kontaktperson.</w:t>
      </w:r>
    </w:p>
    <w:p w14:paraId="6657A534" w14:textId="77777777" w:rsidR="00A43860" w:rsidRPr="00BC044B" w:rsidRDefault="00A43860" w:rsidP="00A438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044B">
        <w:rPr>
          <w:rFonts w:cs="Arial"/>
        </w:rPr>
        <w:t>Samarbeid: For å få til en god dokumentasjon må det samarbeides både mellom prosjekterende og</w:t>
      </w:r>
    </w:p>
    <w:p w14:paraId="4B699BCC" w14:textId="77777777" w:rsidR="000C6420" w:rsidRPr="00BC044B" w:rsidRDefault="00A43860" w:rsidP="000C6420">
      <w:pPr>
        <w:autoSpaceDE w:val="0"/>
        <w:autoSpaceDN w:val="0"/>
        <w:adjustRightInd w:val="0"/>
        <w:spacing w:after="0" w:line="240" w:lineRule="auto"/>
      </w:pPr>
      <w:r w:rsidRPr="00BC044B">
        <w:rPr>
          <w:rFonts w:cs="Arial"/>
        </w:rPr>
        <w:t xml:space="preserve">entreprenører i samme fag og på tvers av fag. </w:t>
      </w:r>
    </w:p>
    <w:p w14:paraId="2D8ACE22" w14:textId="77777777" w:rsidR="00A43860" w:rsidRPr="00A43860" w:rsidRDefault="00A43860" w:rsidP="00A43860"/>
    <w:p w14:paraId="4112ACD8" w14:textId="2E8A33AA" w:rsidR="0092088C" w:rsidRPr="0092088C" w:rsidRDefault="0092088C" w:rsidP="0092088C">
      <w:pPr>
        <w:pStyle w:val="Overskrift2"/>
        <w:numPr>
          <w:ilvl w:val="1"/>
          <w:numId w:val="1"/>
        </w:numPr>
      </w:pPr>
      <w:bookmarkStart w:id="31" w:name="_Toc103935343"/>
      <w:r>
        <w:t>Tegninger</w:t>
      </w:r>
      <w:bookmarkEnd w:id="31"/>
    </w:p>
    <w:p w14:paraId="047DA0AE" w14:textId="77777777" w:rsidR="0092088C" w:rsidRPr="0092088C" w:rsidRDefault="0092088C" w:rsidP="0092088C">
      <w:pPr>
        <w:pStyle w:val="Listeavsnitt"/>
        <w:numPr>
          <w:ilvl w:val="0"/>
          <w:numId w:val="11"/>
        </w:numPr>
        <w:spacing w:after="0" w:line="240" w:lineRule="auto"/>
        <w:contextualSpacing w:val="0"/>
      </w:pPr>
      <w:r>
        <w:t>Tegningene gjennomgås, justeres evt. og «renskes» for gamle revisjonsskyer etc.</w:t>
      </w:r>
    </w:p>
    <w:p w14:paraId="6289EE41" w14:textId="77777777" w:rsidR="0092088C" w:rsidRDefault="0092088C" w:rsidP="0092088C">
      <w:pPr>
        <w:pStyle w:val="Listeavsnitt"/>
        <w:numPr>
          <w:ilvl w:val="0"/>
          <w:numId w:val="11"/>
        </w:numPr>
        <w:spacing w:after="0" w:line="240" w:lineRule="auto"/>
        <w:contextualSpacing w:val="0"/>
      </w:pPr>
      <w:r>
        <w:t>Tittelfelt: Revisjonshistorikk i tittelfeltet fjernes ikke, tegninga gis bare en ny revisjon med tilhørende tekst «Som bygget», ikke «As-</w:t>
      </w:r>
      <w:proofErr w:type="spellStart"/>
      <w:r>
        <w:t>built</w:t>
      </w:r>
      <w:proofErr w:type="spellEnd"/>
      <w:r>
        <w:t xml:space="preserve">» </w:t>
      </w:r>
    </w:p>
    <w:p w14:paraId="6086128C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lastRenderedPageBreak/>
        <w:t xml:space="preserve">Revisjonshistorikk fjernes på </w:t>
      </w:r>
      <w:r w:rsidR="00EB1B40">
        <w:t>«</w:t>
      </w:r>
      <w:r w:rsidRPr="0092088C">
        <w:t>som bygget</w:t>
      </w:r>
      <w:r w:rsidR="00EB1B40">
        <w:t>»</w:t>
      </w:r>
      <w:r w:rsidRPr="0092088C">
        <w:t xml:space="preserve"> tegningene som overleveres til oss.</w:t>
      </w:r>
    </w:p>
    <w:p w14:paraId="12826405" w14:textId="77777777" w:rsidR="0092088C" w:rsidRDefault="0092088C" w:rsidP="0092088C">
      <w:pPr>
        <w:pStyle w:val="Listeavsnitt"/>
        <w:numPr>
          <w:ilvl w:val="0"/>
          <w:numId w:val="11"/>
        </w:numPr>
        <w:spacing w:after="0" w:line="240" w:lineRule="auto"/>
        <w:contextualSpacing w:val="0"/>
      </w:pPr>
      <w:r>
        <w:t xml:space="preserve">Timer føres som oppfølging på vanlig måte med timelister etc., vi lager ikke egne </w:t>
      </w:r>
      <w:proofErr w:type="spellStart"/>
      <w:r>
        <w:t>KTR</w:t>
      </w:r>
      <w:proofErr w:type="spellEnd"/>
      <w:r>
        <w:t>-skjema for dette (kontrakten opererer med «bygge- og overleveringsfasen</w:t>
      </w:r>
      <w:r w:rsidR="00DA2F83">
        <w:t>»</w:t>
      </w:r>
      <w:r>
        <w:t xml:space="preserve">). </w:t>
      </w:r>
    </w:p>
    <w:p w14:paraId="2F43E185" w14:textId="77777777" w:rsidR="0092088C" w:rsidRDefault="0092088C" w:rsidP="0092088C">
      <w:pPr>
        <w:pStyle w:val="Listeavsnitt"/>
        <w:numPr>
          <w:ilvl w:val="0"/>
          <w:numId w:val="11"/>
        </w:numPr>
        <w:spacing w:after="0" w:line="240" w:lineRule="auto"/>
        <w:contextualSpacing w:val="0"/>
      </w:pPr>
      <w:r>
        <w:t xml:space="preserve">Tegningsformat: Første steg: </w:t>
      </w:r>
      <w:proofErr w:type="spellStart"/>
      <w:r>
        <w:t>pdf</w:t>
      </w:r>
      <w:proofErr w:type="spellEnd"/>
      <w:r>
        <w:t xml:space="preserve">-format leveres, </w:t>
      </w:r>
      <w:r w:rsidRPr="0092088C">
        <w:rPr>
          <w:color w:val="FF0000"/>
        </w:rPr>
        <w:t>elektronisk/legges på E-</w:t>
      </w:r>
      <w:proofErr w:type="spellStart"/>
      <w:r w:rsidRPr="0092088C">
        <w:rPr>
          <w:color w:val="FF0000"/>
        </w:rPr>
        <w:t>room</w:t>
      </w:r>
      <w:proofErr w:type="spellEnd"/>
      <w:r>
        <w:t xml:space="preserve">.  Neste steg: </w:t>
      </w:r>
    </w:p>
    <w:p w14:paraId="5A2F6CA7" w14:textId="77777777" w:rsidR="0092088C" w:rsidRDefault="00A43860" w:rsidP="0092088C">
      <w:pPr>
        <w:pStyle w:val="Listeavsnitt"/>
        <w:numPr>
          <w:ilvl w:val="1"/>
          <w:numId w:val="11"/>
        </w:numPr>
      </w:pPr>
      <w:proofErr w:type="spellStart"/>
      <w:r>
        <w:t>DWG</w:t>
      </w:r>
      <w:proofErr w:type="spellEnd"/>
      <w:r w:rsidR="0092088C">
        <w:t>-format av plan</w:t>
      </w:r>
      <w:r>
        <w:t>tegninger som</w:t>
      </w:r>
      <w:r w:rsidR="0092088C">
        <w:t xml:space="preserve"> leveres, skal være hele etasjer eller tegningsutsnittene slik de ligger i </w:t>
      </w:r>
      <w:proofErr w:type="spellStart"/>
      <w:r w:rsidR="0092088C">
        <w:t>pdf</w:t>
      </w:r>
      <w:proofErr w:type="spellEnd"/>
      <w:r w:rsidR="0092088C">
        <w:t>.</w:t>
      </w:r>
    </w:p>
    <w:p w14:paraId="68682B7E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Tegningslisten skal inneholde alle tegninger som overleveres.</w:t>
      </w:r>
    </w:p>
    <w:p w14:paraId="7F595F08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 xml:space="preserve">Tegningsdato </w:t>
      </w:r>
      <w:r w:rsidR="00033B52">
        <w:t>«</w:t>
      </w:r>
      <w:r w:rsidRPr="0092088C">
        <w:t>som bygget</w:t>
      </w:r>
      <w:r w:rsidR="00033B52">
        <w:t>»</w:t>
      </w:r>
      <w:r w:rsidRPr="0092088C">
        <w:t xml:space="preserve"> dato</w:t>
      </w:r>
    </w:p>
    <w:p w14:paraId="229FA314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Tegningsnummer skal samsvare med aktuell tegning.</w:t>
      </w:r>
    </w:p>
    <w:p w14:paraId="614002C4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Tegningene skal være uten eksterne referanser.</w:t>
      </w:r>
    </w:p>
    <w:p w14:paraId="6FB7047F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Tegningene leveres der hele etasjer vises samt modellen/modellområdet.</w:t>
      </w:r>
    </w:p>
    <w:p w14:paraId="5B348089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Filnavn på .</w:t>
      </w:r>
      <w:proofErr w:type="spellStart"/>
      <w:r w:rsidRPr="0092088C">
        <w:t>dwg</w:t>
      </w:r>
      <w:proofErr w:type="spellEnd"/>
      <w:r w:rsidRPr="0092088C">
        <w:t>-/.</w:t>
      </w:r>
      <w:proofErr w:type="spellStart"/>
      <w:r w:rsidRPr="0092088C">
        <w:t>pdf</w:t>
      </w:r>
      <w:proofErr w:type="spellEnd"/>
      <w:r w:rsidRPr="0092088C">
        <w:t>-filene skal samsvare med tegningsliste.</w:t>
      </w:r>
    </w:p>
    <w:p w14:paraId="0833E01D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Plantegninger 1:50</w:t>
      </w:r>
    </w:p>
    <w:p w14:paraId="492971EE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Skjemategning 1:20/1:25</w:t>
      </w:r>
    </w:p>
    <w:p w14:paraId="5604968B" w14:textId="77777777" w:rsidR="0092088C" w:rsidRPr="0092088C" w:rsidRDefault="0092088C" w:rsidP="0092088C">
      <w:pPr>
        <w:pStyle w:val="Listeavsnitt"/>
        <w:numPr>
          <w:ilvl w:val="1"/>
          <w:numId w:val="11"/>
        </w:numPr>
      </w:pPr>
      <w:r w:rsidRPr="0092088C">
        <w:t>Detaljtegninger 1:10</w:t>
      </w:r>
    </w:p>
    <w:p w14:paraId="09103F98" w14:textId="77777777" w:rsidR="00C8448B" w:rsidRDefault="000C6420" w:rsidP="000C6420">
      <w:pPr>
        <w:pStyle w:val="Overskrift1"/>
        <w:numPr>
          <w:ilvl w:val="0"/>
          <w:numId w:val="1"/>
        </w:numPr>
      </w:pPr>
      <w:bookmarkStart w:id="32" w:name="_Toc103935344"/>
      <w:r>
        <w:t>Merking systemer og komponenter</w:t>
      </w:r>
      <w:bookmarkEnd w:id="32"/>
    </w:p>
    <w:p w14:paraId="4F646FAD" w14:textId="77777777" w:rsidR="000C6420" w:rsidRPr="000C6420" w:rsidRDefault="000C6420" w:rsidP="000C6420">
      <w:r>
        <w:t>Merking av systemer og komponenter skal følge siste revisjon av tverrfaglig merkesystem utarbeidet av statsbygg.</w:t>
      </w:r>
    </w:p>
    <w:sectPr w:rsidR="000C6420" w:rsidRPr="000C642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4E0F" w14:textId="77777777" w:rsidR="000077FC" w:rsidRDefault="000077FC" w:rsidP="00F31F23">
      <w:pPr>
        <w:spacing w:after="0" w:line="240" w:lineRule="auto"/>
      </w:pPr>
      <w:r>
        <w:separator/>
      </w:r>
    </w:p>
  </w:endnote>
  <w:endnote w:type="continuationSeparator" w:id="0">
    <w:p w14:paraId="19F7633A" w14:textId="77777777" w:rsidR="000077FC" w:rsidRDefault="000077FC" w:rsidP="00F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D391" w14:textId="77777777" w:rsidR="000077FC" w:rsidRDefault="000077FC" w:rsidP="00F31F23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1F6F2" wp14:editId="3E3B60C8">
              <wp:simplePos x="0" y="0"/>
              <wp:positionH relativeFrom="column">
                <wp:posOffset>-613548</wp:posOffset>
              </wp:positionH>
              <wp:positionV relativeFrom="paragraph">
                <wp:posOffset>-140556</wp:posOffset>
              </wp:positionV>
              <wp:extent cx="7020477" cy="0"/>
              <wp:effectExtent l="0" t="0" r="95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4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1268D" id="Rett linj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-11.05pt" to="504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" strokecolor="#4579b8 [3044]"/>
          </w:pict>
        </mc:Fallback>
      </mc:AlternateContent>
    </w:r>
    <w:r>
      <w:tab/>
    </w:r>
    <w:sdt>
      <w:sdtPr>
        <w:id w:val="-6353367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sdtContent>
    </w:sdt>
    <w:r>
      <w:tab/>
    </w:r>
    <w:r>
      <w:rPr>
        <w:sz w:val="16"/>
        <w:szCs w:val="16"/>
      </w:rPr>
      <w:t>Versjon 02. 28.10</w:t>
    </w:r>
    <w:r w:rsidRPr="00F31F23">
      <w:rPr>
        <w:sz w:val="16"/>
        <w:szCs w:val="16"/>
      </w:rPr>
      <w:t>.20</w:t>
    </w:r>
    <w:r>
      <w:rPr>
        <w:sz w:val="16"/>
        <w:szCs w:val="16"/>
      </w:rPr>
      <w:t>20</w:t>
    </w:r>
    <w:r w:rsidRPr="00F31F23">
      <w:rPr>
        <w:sz w:val="16"/>
        <w:szCs w:val="16"/>
      </w:rPr>
      <w:t xml:space="preserve"> </w:t>
    </w:r>
    <w:r>
      <w:rPr>
        <w:sz w:val="16"/>
        <w:szCs w:val="16"/>
      </w:rPr>
      <w:t>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5270" w14:textId="77777777" w:rsidR="000077FC" w:rsidRDefault="000077FC" w:rsidP="00F31F23">
      <w:pPr>
        <w:spacing w:after="0" w:line="240" w:lineRule="auto"/>
      </w:pPr>
      <w:r>
        <w:separator/>
      </w:r>
    </w:p>
  </w:footnote>
  <w:footnote w:type="continuationSeparator" w:id="0">
    <w:p w14:paraId="067DA10E" w14:textId="77777777" w:rsidR="000077FC" w:rsidRDefault="000077FC" w:rsidP="00F3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CD65" w14:textId="77777777" w:rsidR="000077FC" w:rsidRDefault="000077F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4EB30BC" wp14:editId="1DB96AC0">
          <wp:simplePos x="0" y="0"/>
          <wp:positionH relativeFrom="column">
            <wp:posOffset>-542925</wp:posOffset>
          </wp:positionH>
          <wp:positionV relativeFrom="paragraph">
            <wp:posOffset>-92075</wp:posOffset>
          </wp:positionV>
          <wp:extent cx="2821305" cy="294005"/>
          <wp:effectExtent l="0" t="0" r="0" b="0"/>
          <wp:wrapThrough wrapText="bothSides">
            <wp:wrapPolygon edited="0">
              <wp:start x="583" y="0"/>
              <wp:lineTo x="0" y="6998"/>
              <wp:lineTo x="0" y="12596"/>
              <wp:lineTo x="438" y="19594"/>
              <wp:lineTo x="21148" y="19594"/>
              <wp:lineTo x="21440" y="16795"/>
              <wp:lineTo x="21440" y="0"/>
              <wp:lineTo x="583" y="0"/>
            </wp:wrapPolygon>
          </wp:wrapThrough>
          <wp:docPr id="1" name="Bilde 1" descr="http://www.nordlandssykehuset.no/profilhandbok/img/logovarian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ordlandssykehuset.no/profilhandbok/img/logovarian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50BD" w14:textId="77777777" w:rsidR="000077FC" w:rsidRDefault="000077FC">
    <w:pPr>
      <w:pStyle w:val="Topptekst"/>
    </w:pPr>
  </w:p>
  <w:p w14:paraId="49015394" w14:textId="77777777" w:rsidR="000077FC" w:rsidRDefault="000077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AA6"/>
    <w:multiLevelType w:val="hybridMultilevel"/>
    <w:tmpl w:val="F3A46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19D"/>
    <w:multiLevelType w:val="hybridMultilevel"/>
    <w:tmpl w:val="3F68F1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295"/>
    <w:multiLevelType w:val="hybridMultilevel"/>
    <w:tmpl w:val="D1262B34"/>
    <w:lvl w:ilvl="0" w:tplc="357410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2057"/>
    <w:multiLevelType w:val="hybridMultilevel"/>
    <w:tmpl w:val="D09EE5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7E9A"/>
    <w:multiLevelType w:val="hybridMultilevel"/>
    <w:tmpl w:val="6BF29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89F"/>
    <w:multiLevelType w:val="hybridMultilevel"/>
    <w:tmpl w:val="693C8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55A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32453D"/>
    <w:multiLevelType w:val="hybridMultilevel"/>
    <w:tmpl w:val="3F68F1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E69A1"/>
    <w:multiLevelType w:val="hybridMultilevel"/>
    <w:tmpl w:val="14C423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B82"/>
    <w:multiLevelType w:val="multilevel"/>
    <w:tmpl w:val="6582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92E24F1"/>
    <w:multiLevelType w:val="multilevel"/>
    <w:tmpl w:val="6582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DA01D4E"/>
    <w:multiLevelType w:val="hybridMultilevel"/>
    <w:tmpl w:val="C6EA7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648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615BF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CB6F26"/>
    <w:multiLevelType w:val="multilevel"/>
    <w:tmpl w:val="6582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0721903"/>
    <w:multiLevelType w:val="multilevel"/>
    <w:tmpl w:val="6582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4A03CD"/>
    <w:multiLevelType w:val="multilevel"/>
    <w:tmpl w:val="6582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10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3"/>
    <w:rsid w:val="000067C4"/>
    <w:rsid w:val="000077FC"/>
    <w:rsid w:val="00033B52"/>
    <w:rsid w:val="0009387E"/>
    <w:rsid w:val="000A373A"/>
    <w:rsid w:val="000A5608"/>
    <w:rsid w:val="000B0968"/>
    <w:rsid w:val="000B2E73"/>
    <w:rsid w:val="000B645D"/>
    <w:rsid w:val="000C6420"/>
    <w:rsid w:val="000F5A5D"/>
    <w:rsid w:val="001072DB"/>
    <w:rsid w:val="001128FE"/>
    <w:rsid w:val="00126B28"/>
    <w:rsid w:val="0016088A"/>
    <w:rsid w:val="001B193E"/>
    <w:rsid w:val="001C675D"/>
    <w:rsid w:val="001C73B2"/>
    <w:rsid w:val="001D0365"/>
    <w:rsid w:val="001E39CE"/>
    <w:rsid w:val="001F2946"/>
    <w:rsid w:val="00217CA3"/>
    <w:rsid w:val="002274A6"/>
    <w:rsid w:val="00231E0A"/>
    <w:rsid w:val="00237107"/>
    <w:rsid w:val="0027021A"/>
    <w:rsid w:val="0029764E"/>
    <w:rsid w:val="002A7F14"/>
    <w:rsid w:val="002D647C"/>
    <w:rsid w:val="003260BE"/>
    <w:rsid w:val="00337B41"/>
    <w:rsid w:val="00342E5A"/>
    <w:rsid w:val="00347945"/>
    <w:rsid w:val="00383E8B"/>
    <w:rsid w:val="003A4117"/>
    <w:rsid w:val="003F57C3"/>
    <w:rsid w:val="003F7B1D"/>
    <w:rsid w:val="00407B7F"/>
    <w:rsid w:val="00430D19"/>
    <w:rsid w:val="004367D7"/>
    <w:rsid w:val="00444ED9"/>
    <w:rsid w:val="00464AB1"/>
    <w:rsid w:val="00472747"/>
    <w:rsid w:val="00480D8C"/>
    <w:rsid w:val="005158D9"/>
    <w:rsid w:val="0054177C"/>
    <w:rsid w:val="00571DBB"/>
    <w:rsid w:val="00597E83"/>
    <w:rsid w:val="005C2CF9"/>
    <w:rsid w:val="005C64FD"/>
    <w:rsid w:val="005D6133"/>
    <w:rsid w:val="00610DE2"/>
    <w:rsid w:val="00614527"/>
    <w:rsid w:val="006429DE"/>
    <w:rsid w:val="00654E2F"/>
    <w:rsid w:val="00660695"/>
    <w:rsid w:val="00686921"/>
    <w:rsid w:val="00693CAD"/>
    <w:rsid w:val="00697E87"/>
    <w:rsid w:val="006A704E"/>
    <w:rsid w:val="00752626"/>
    <w:rsid w:val="00756B08"/>
    <w:rsid w:val="0079302D"/>
    <w:rsid w:val="007B2124"/>
    <w:rsid w:val="007B5CA4"/>
    <w:rsid w:val="007D5901"/>
    <w:rsid w:val="007E56DE"/>
    <w:rsid w:val="007F3672"/>
    <w:rsid w:val="0082035D"/>
    <w:rsid w:val="00827728"/>
    <w:rsid w:val="008310D8"/>
    <w:rsid w:val="008404FB"/>
    <w:rsid w:val="00842076"/>
    <w:rsid w:val="00856B5D"/>
    <w:rsid w:val="008642B2"/>
    <w:rsid w:val="00881DC8"/>
    <w:rsid w:val="00887057"/>
    <w:rsid w:val="008B0B41"/>
    <w:rsid w:val="0092088C"/>
    <w:rsid w:val="0092285D"/>
    <w:rsid w:val="00932F89"/>
    <w:rsid w:val="009505A7"/>
    <w:rsid w:val="009531D7"/>
    <w:rsid w:val="00961C9B"/>
    <w:rsid w:val="00963050"/>
    <w:rsid w:val="00992CFD"/>
    <w:rsid w:val="009C17CD"/>
    <w:rsid w:val="009D6CB4"/>
    <w:rsid w:val="009E12A6"/>
    <w:rsid w:val="00A3274A"/>
    <w:rsid w:val="00A42CDD"/>
    <w:rsid w:val="00A43860"/>
    <w:rsid w:val="00A47AD2"/>
    <w:rsid w:val="00A50631"/>
    <w:rsid w:val="00A60E16"/>
    <w:rsid w:val="00AA197E"/>
    <w:rsid w:val="00AB4903"/>
    <w:rsid w:val="00AC72BE"/>
    <w:rsid w:val="00AD750B"/>
    <w:rsid w:val="00B26C37"/>
    <w:rsid w:val="00B30EA5"/>
    <w:rsid w:val="00B37A23"/>
    <w:rsid w:val="00B43BEE"/>
    <w:rsid w:val="00B45158"/>
    <w:rsid w:val="00B65E95"/>
    <w:rsid w:val="00B73567"/>
    <w:rsid w:val="00B860FB"/>
    <w:rsid w:val="00BA07B7"/>
    <w:rsid w:val="00BA679A"/>
    <w:rsid w:val="00BB74C9"/>
    <w:rsid w:val="00BC044B"/>
    <w:rsid w:val="00C104BE"/>
    <w:rsid w:val="00C414CC"/>
    <w:rsid w:val="00C41B56"/>
    <w:rsid w:val="00C50DDE"/>
    <w:rsid w:val="00C66658"/>
    <w:rsid w:val="00C71BBD"/>
    <w:rsid w:val="00C8448B"/>
    <w:rsid w:val="00C84987"/>
    <w:rsid w:val="00CA280A"/>
    <w:rsid w:val="00CA55C5"/>
    <w:rsid w:val="00CF3050"/>
    <w:rsid w:val="00CF6B66"/>
    <w:rsid w:val="00D069C2"/>
    <w:rsid w:val="00D27307"/>
    <w:rsid w:val="00D4649A"/>
    <w:rsid w:val="00D52A17"/>
    <w:rsid w:val="00D6743C"/>
    <w:rsid w:val="00D76006"/>
    <w:rsid w:val="00D7621A"/>
    <w:rsid w:val="00DA2F83"/>
    <w:rsid w:val="00DA33A9"/>
    <w:rsid w:val="00DB1678"/>
    <w:rsid w:val="00DC3972"/>
    <w:rsid w:val="00DC5153"/>
    <w:rsid w:val="00DC6AA0"/>
    <w:rsid w:val="00DD23D5"/>
    <w:rsid w:val="00DD4041"/>
    <w:rsid w:val="00DD6854"/>
    <w:rsid w:val="00E04957"/>
    <w:rsid w:val="00E427FF"/>
    <w:rsid w:val="00EA1199"/>
    <w:rsid w:val="00EA7AB8"/>
    <w:rsid w:val="00EB1B40"/>
    <w:rsid w:val="00EF258C"/>
    <w:rsid w:val="00F0208B"/>
    <w:rsid w:val="00F31F23"/>
    <w:rsid w:val="00F46582"/>
    <w:rsid w:val="00F6591C"/>
    <w:rsid w:val="00F67EA4"/>
    <w:rsid w:val="00F84FC0"/>
    <w:rsid w:val="00FA016B"/>
    <w:rsid w:val="00FA13EA"/>
    <w:rsid w:val="00FA19D4"/>
    <w:rsid w:val="00FC4697"/>
    <w:rsid w:val="00FD3072"/>
    <w:rsid w:val="00FF468E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35C287"/>
  <w15:docId w15:val="{FAB310A0-D43B-43D4-8893-8DA8628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2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1F23"/>
  </w:style>
  <w:style w:type="paragraph" w:styleId="Bunntekst">
    <w:name w:val="footer"/>
    <w:basedOn w:val="Normal"/>
    <w:link w:val="BunntekstTegn"/>
    <w:unhideWhenUsed/>
    <w:rsid w:val="00F3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1F23"/>
  </w:style>
  <w:style w:type="paragraph" w:styleId="Bobletekst">
    <w:name w:val="Balloon Text"/>
    <w:basedOn w:val="Normal"/>
    <w:link w:val="BobletekstTegn"/>
    <w:uiPriority w:val="99"/>
    <w:semiHidden/>
    <w:unhideWhenUsed/>
    <w:rsid w:val="00F3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F2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37A23"/>
    <w:pPr>
      <w:outlineLvl w:val="9"/>
    </w:pPr>
    <w:rPr>
      <w:lang w:eastAsia="nb-NO"/>
    </w:rPr>
  </w:style>
  <w:style w:type="paragraph" w:styleId="Ingenmellomrom">
    <w:name w:val="No Spacing"/>
    <w:uiPriority w:val="1"/>
    <w:qFormat/>
    <w:rsid w:val="00B37A23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37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B37A23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B37A23"/>
    <w:pPr>
      <w:widowControl w:val="0"/>
      <w:spacing w:after="0" w:line="240" w:lineRule="auto"/>
      <w:ind w:left="202"/>
    </w:pPr>
    <w:rPr>
      <w:rFonts w:ascii="Trebuchet MS" w:eastAsia="Trebuchet MS" w:hAnsi="Trebuchet MS"/>
      <w:sz w:val="17"/>
      <w:szCs w:val="17"/>
    </w:rPr>
  </w:style>
  <w:style w:type="character" w:customStyle="1" w:styleId="BrdtekstTegn">
    <w:name w:val="Brødtekst Tegn"/>
    <w:basedOn w:val="Standardskriftforavsnitt"/>
    <w:link w:val="Brdtekst"/>
    <w:uiPriority w:val="1"/>
    <w:rsid w:val="00B37A23"/>
    <w:rPr>
      <w:rFonts w:ascii="Trebuchet MS" w:eastAsia="Trebuchet MS" w:hAnsi="Trebuchet MS"/>
      <w:sz w:val="17"/>
      <w:szCs w:val="17"/>
    </w:rPr>
  </w:style>
  <w:style w:type="paragraph" w:styleId="INNH1">
    <w:name w:val="toc 1"/>
    <w:basedOn w:val="Normal"/>
    <w:next w:val="Normal"/>
    <w:autoRedefine/>
    <w:uiPriority w:val="39"/>
    <w:unhideWhenUsed/>
    <w:rsid w:val="001F294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F2946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F2946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2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Brdtekst"/>
    <w:link w:val="TittelTegn"/>
    <w:qFormat/>
    <w:rsid w:val="009E12A6"/>
    <w:pPr>
      <w:spacing w:before="480" w:after="0" w:line="240" w:lineRule="auto"/>
    </w:pPr>
    <w:rPr>
      <w:rFonts w:ascii="Arial" w:eastAsia="Times New Roman" w:hAnsi="Arial" w:cs="Arial"/>
      <w:b/>
      <w:color w:val="000080"/>
      <w:kern w:val="28"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9E12A6"/>
    <w:rPr>
      <w:rFonts w:ascii="Arial" w:eastAsia="Times New Roman" w:hAnsi="Arial" w:cs="Arial"/>
      <w:b/>
      <w:color w:val="000080"/>
      <w:kern w:val="28"/>
      <w:sz w:val="28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8448B"/>
    <w:pPr>
      <w:spacing w:after="100"/>
      <w:ind w:left="440"/>
    </w:pPr>
  </w:style>
  <w:style w:type="paragraph" w:customStyle="1" w:styleId="Default">
    <w:name w:val="Default"/>
    <w:rsid w:val="00571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571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ksander.veinan@nordlandssykehuset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tto.Larsen@nordlandssykehuset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isle@boarch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rge.kristensen@rambo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AAF3581-5BAB-4217-BA6F-23B36CC5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F6A34-7E78-4AED-914F-C8A653CFF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C14EE-6164-4A5B-945A-CF788CA53C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B8838-7F29-46B8-9FC0-8D120B1C48E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2773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Stig Atle Johansen</cp:lastModifiedBy>
  <cp:revision>44</cp:revision>
  <dcterms:created xsi:type="dcterms:W3CDTF">2022-05-12T11:19:00Z</dcterms:created>
  <dcterms:modified xsi:type="dcterms:W3CDTF">2022-05-20T08:37:00Z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