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B8E7E" w14:textId="32AB7724" w:rsidR="002A00EF" w:rsidRPr="008F02AF" w:rsidRDefault="00E26BF8" w:rsidP="00632344">
      <w:pPr>
        <w:pStyle w:val="Overskrift1"/>
        <w:rPr>
          <w:rFonts w:asciiTheme="minorHAnsi" w:hAnsiTheme="minorHAnsi"/>
          <w:color w:val="003283"/>
          <w:sz w:val="56"/>
          <w:szCs w:val="56"/>
        </w:rPr>
      </w:pPr>
      <w:r w:rsidRPr="008F02AF">
        <w:rPr>
          <w:rFonts w:asciiTheme="minorHAnsi" w:hAnsiTheme="minorHAnsi"/>
          <w:color w:val="003283"/>
          <w:sz w:val="56"/>
          <w:szCs w:val="56"/>
        </w:rPr>
        <w:t xml:space="preserve">Vedlegg 09 - </w:t>
      </w:r>
      <w:r w:rsidR="00456A49" w:rsidRPr="008F02AF">
        <w:rPr>
          <w:rFonts w:asciiTheme="minorHAnsi" w:hAnsiTheme="minorHAnsi"/>
          <w:color w:val="003283"/>
          <w:sz w:val="56"/>
          <w:szCs w:val="56"/>
        </w:rPr>
        <w:t>Offentlig innsyn i tilbud</w:t>
      </w:r>
    </w:p>
    <w:p w14:paraId="0E7681A5" w14:textId="45334996" w:rsidR="001738F5" w:rsidRPr="009C62C9" w:rsidRDefault="002A00EF" w:rsidP="00931E9E">
      <w:pPr>
        <w:pStyle w:val="Default"/>
        <w:jc w:val="both"/>
        <w:rPr>
          <w:rFonts w:asciiTheme="minorHAnsi" w:hAnsiTheme="minorHAnsi"/>
          <w:sz w:val="22"/>
          <w:szCs w:val="22"/>
        </w:rPr>
      </w:pPr>
      <w:r w:rsidRPr="009C62C9">
        <w:rPr>
          <w:rFonts w:asciiTheme="minorHAnsi" w:hAnsiTheme="minorHAnsi"/>
          <w:sz w:val="22"/>
          <w:szCs w:val="22"/>
        </w:rPr>
        <w:t>Allmennheten har rett til innsyn i tilbud og protokoll etter at valg av leverandør er gjort, se lov 19. mai 2006 nr. 16 om rett til innsyn i dokument i offentlig virksomhet (</w:t>
      </w:r>
      <w:proofErr w:type="spellStart"/>
      <w:r w:rsidRPr="009C62C9">
        <w:rPr>
          <w:rFonts w:asciiTheme="minorHAnsi" w:hAnsiTheme="minorHAnsi"/>
          <w:sz w:val="22"/>
          <w:szCs w:val="22"/>
        </w:rPr>
        <w:t>offentleglova</w:t>
      </w:r>
      <w:proofErr w:type="spellEnd"/>
      <w:r w:rsidRPr="009C62C9">
        <w:rPr>
          <w:rFonts w:asciiTheme="minorHAnsi" w:hAnsiTheme="minorHAnsi"/>
          <w:sz w:val="22"/>
          <w:szCs w:val="22"/>
        </w:rPr>
        <w:t xml:space="preserve">) § 23 tredje ledd, jf. forskrift av 7. april 2006 nr. 402 om offentlige anskaffelser (FOA) § 3-5. </w:t>
      </w:r>
      <w:r w:rsidR="00257C01" w:rsidRPr="009C62C9">
        <w:rPr>
          <w:rFonts w:asciiTheme="minorHAnsi" w:hAnsiTheme="minorHAnsi"/>
          <w:sz w:val="22"/>
          <w:szCs w:val="22"/>
        </w:rPr>
        <w:t xml:space="preserve">For å kunne gjøre unntak fra hovedregelen om innsyn, så må det foreligge en særskilt hjemmel for det. </w:t>
      </w:r>
      <w:r w:rsidR="001738F5" w:rsidRPr="009C62C9">
        <w:rPr>
          <w:rFonts w:asciiTheme="minorHAnsi" w:hAnsiTheme="minorHAnsi"/>
          <w:sz w:val="22"/>
          <w:szCs w:val="22"/>
        </w:rPr>
        <w:t xml:space="preserve">Taushetsbelagte opplysninger er unntatt fra innsynsretten jf. </w:t>
      </w:r>
      <w:proofErr w:type="spellStart"/>
      <w:r w:rsidR="001738F5" w:rsidRPr="009C62C9">
        <w:rPr>
          <w:rFonts w:asciiTheme="minorHAnsi" w:hAnsiTheme="minorHAnsi"/>
          <w:sz w:val="22"/>
          <w:szCs w:val="22"/>
        </w:rPr>
        <w:t>offentleglova</w:t>
      </w:r>
      <w:proofErr w:type="spellEnd"/>
      <w:r w:rsidR="001738F5" w:rsidRPr="009C62C9">
        <w:rPr>
          <w:rFonts w:asciiTheme="minorHAnsi" w:hAnsiTheme="minorHAnsi"/>
          <w:sz w:val="22"/>
          <w:szCs w:val="22"/>
        </w:rPr>
        <w:t xml:space="preserve"> § 13</w:t>
      </w:r>
      <w:r w:rsidR="005A7BA0" w:rsidRPr="009C62C9">
        <w:rPr>
          <w:rFonts w:asciiTheme="minorHAnsi" w:hAnsiTheme="minorHAnsi"/>
          <w:sz w:val="22"/>
          <w:szCs w:val="22"/>
        </w:rPr>
        <w:t>, jf.</w:t>
      </w:r>
      <w:r w:rsidR="00D50EED" w:rsidRPr="009C62C9">
        <w:rPr>
          <w:rFonts w:asciiTheme="minorHAnsi" w:hAnsiTheme="minorHAnsi"/>
          <w:sz w:val="22"/>
          <w:szCs w:val="22"/>
        </w:rPr>
        <w:t xml:space="preserve"> </w:t>
      </w:r>
      <w:r w:rsidR="005A7BA0" w:rsidRPr="009C62C9">
        <w:rPr>
          <w:rFonts w:asciiTheme="minorHAnsi" w:hAnsiTheme="minorHAnsi"/>
          <w:sz w:val="22"/>
          <w:szCs w:val="22"/>
        </w:rPr>
        <w:t xml:space="preserve">lov av 10. februar 1967 om forhandlingsmåten i </w:t>
      </w:r>
      <w:r w:rsidR="00D50EED" w:rsidRPr="009C62C9">
        <w:rPr>
          <w:rFonts w:asciiTheme="minorHAnsi" w:hAnsiTheme="minorHAnsi"/>
          <w:sz w:val="22"/>
          <w:szCs w:val="22"/>
        </w:rPr>
        <w:t>forvaltningssaker</w:t>
      </w:r>
      <w:r w:rsidR="005A7BA0" w:rsidRPr="009C62C9">
        <w:rPr>
          <w:rFonts w:asciiTheme="minorHAnsi" w:hAnsiTheme="minorHAnsi"/>
          <w:sz w:val="22"/>
          <w:szCs w:val="22"/>
        </w:rPr>
        <w:t xml:space="preserve"> (forvaltningsloven) § 13 første ledd nr. 2. Bestemmelsen gir kun rett til å unnta opplysninger om: «</w:t>
      </w:r>
      <w:r w:rsidR="005A7BA0" w:rsidRPr="009C62C9">
        <w:rPr>
          <w:rFonts w:asciiTheme="minorHAnsi" w:hAnsiTheme="minorHAnsi"/>
          <w:i/>
          <w:sz w:val="22"/>
          <w:szCs w:val="22"/>
        </w:rPr>
        <w:t>tekniske innretninger og fremgangsmåter samt drifts- eller forretningsforhold som det vil være av konkurransemessig betydning å hemmeligholde av hensyn til den som opplysningen angår</w:t>
      </w:r>
      <w:r w:rsidR="005A7BA0" w:rsidRPr="009C62C9">
        <w:rPr>
          <w:rFonts w:asciiTheme="minorHAnsi" w:hAnsiTheme="minorHAnsi"/>
          <w:sz w:val="22"/>
          <w:szCs w:val="22"/>
        </w:rPr>
        <w:t>»</w:t>
      </w:r>
      <w:r w:rsidR="001738F5" w:rsidRPr="009C62C9">
        <w:rPr>
          <w:rFonts w:asciiTheme="minorHAnsi" w:hAnsiTheme="minorHAnsi"/>
          <w:sz w:val="22"/>
          <w:szCs w:val="22"/>
        </w:rPr>
        <w:t>.</w:t>
      </w:r>
      <w:r w:rsidR="00257C01" w:rsidRPr="009C62C9">
        <w:rPr>
          <w:rFonts w:asciiTheme="minorHAnsi" w:hAnsiTheme="minorHAnsi"/>
          <w:sz w:val="22"/>
          <w:szCs w:val="22"/>
        </w:rPr>
        <w:t xml:space="preserve"> Hver enkelt opplysning som sladdes i tilbudet må derfor være omfattet av taushetsplikten og må kunne begrunnes konkret.</w:t>
      </w:r>
    </w:p>
    <w:p w14:paraId="1E6DAE10" w14:textId="1E26CC73" w:rsidR="00257C01" w:rsidRPr="009C62C9" w:rsidRDefault="00D50EED" w:rsidP="00931E9E">
      <w:pPr>
        <w:pStyle w:val="Default"/>
        <w:spacing w:before="240"/>
        <w:jc w:val="both"/>
        <w:rPr>
          <w:rFonts w:asciiTheme="minorHAnsi" w:hAnsiTheme="minorHAnsi"/>
          <w:sz w:val="22"/>
          <w:szCs w:val="22"/>
        </w:rPr>
      </w:pPr>
      <w:r w:rsidRPr="009C62C9">
        <w:rPr>
          <w:rFonts w:asciiTheme="minorHAnsi" w:hAnsiTheme="minorHAnsi"/>
          <w:sz w:val="22"/>
          <w:szCs w:val="22"/>
        </w:rPr>
        <w:t xml:space="preserve">Tilbyder bes derfor om å inngi </w:t>
      </w:r>
      <w:r w:rsidR="005A7BA0" w:rsidRPr="009C62C9">
        <w:rPr>
          <w:rFonts w:asciiTheme="minorHAnsi" w:hAnsiTheme="minorHAnsi"/>
          <w:sz w:val="22"/>
          <w:szCs w:val="22"/>
        </w:rPr>
        <w:t>en sladdet versjon</w:t>
      </w:r>
      <w:r w:rsidRPr="009C62C9">
        <w:rPr>
          <w:rFonts w:asciiTheme="minorHAnsi" w:hAnsiTheme="minorHAnsi"/>
          <w:sz w:val="22"/>
          <w:szCs w:val="22"/>
        </w:rPr>
        <w:t xml:space="preserve"> av tilbudet samt fylle inn i tabellen under. Det skal fremgå hvilke opplysninger som er sladdet, tydelig referanse til hvor aktuelle opplysninger er plassert, samt en begrunnelse for hvorfor opplistede opplysninger er underlagt taushetsplikt. </w:t>
      </w:r>
      <w:r w:rsidR="001738F5" w:rsidRPr="009C62C9">
        <w:rPr>
          <w:rFonts w:asciiTheme="minorHAnsi" w:hAnsiTheme="minorHAnsi"/>
          <w:sz w:val="22"/>
          <w:szCs w:val="22"/>
        </w:rPr>
        <w:t xml:space="preserve"> </w:t>
      </w:r>
    </w:p>
    <w:p w14:paraId="4DA5E6B3" w14:textId="7084949A" w:rsidR="00D50EED" w:rsidRPr="009C62C9" w:rsidRDefault="002A00EF" w:rsidP="00931E9E">
      <w:pPr>
        <w:pStyle w:val="Default"/>
        <w:spacing w:before="240"/>
        <w:jc w:val="both"/>
        <w:rPr>
          <w:rFonts w:asciiTheme="minorHAnsi" w:hAnsiTheme="minorHAnsi"/>
          <w:sz w:val="22"/>
          <w:szCs w:val="22"/>
        </w:rPr>
      </w:pPr>
      <w:r w:rsidRPr="009C62C9">
        <w:rPr>
          <w:rFonts w:asciiTheme="minorHAnsi" w:hAnsiTheme="minorHAnsi"/>
          <w:sz w:val="22"/>
          <w:szCs w:val="22"/>
        </w:rPr>
        <w:t xml:space="preserve">Oppdragsgiver gjør oppmerksom på at informasjon fra tilbyder bare er veiledende, da </w:t>
      </w:r>
      <w:r w:rsidR="00257C01" w:rsidRPr="009C62C9">
        <w:rPr>
          <w:rFonts w:asciiTheme="minorHAnsi" w:hAnsiTheme="minorHAnsi"/>
          <w:sz w:val="22"/>
          <w:szCs w:val="22"/>
        </w:rPr>
        <w:t xml:space="preserve">det er </w:t>
      </w:r>
      <w:r w:rsidR="00A2473F" w:rsidRPr="009C62C9">
        <w:rPr>
          <w:rFonts w:asciiTheme="minorHAnsi" w:hAnsiTheme="minorHAnsi"/>
          <w:sz w:val="22"/>
          <w:szCs w:val="22"/>
        </w:rPr>
        <w:t>O</w:t>
      </w:r>
      <w:r w:rsidR="00257C01" w:rsidRPr="009C62C9">
        <w:rPr>
          <w:rFonts w:asciiTheme="minorHAnsi" w:hAnsiTheme="minorHAnsi"/>
          <w:sz w:val="22"/>
          <w:szCs w:val="22"/>
        </w:rPr>
        <w:t>ppdragsgivers selvstendige ansvar å gi korrekt innsyn</w:t>
      </w:r>
      <w:r w:rsidRPr="009C62C9">
        <w:rPr>
          <w:rFonts w:asciiTheme="minorHAnsi" w:hAnsiTheme="minorHAnsi"/>
          <w:sz w:val="22"/>
          <w:szCs w:val="22"/>
        </w:rPr>
        <w:t>.</w:t>
      </w:r>
      <w:r w:rsidR="001738F5" w:rsidRPr="009C62C9">
        <w:rPr>
          <w:rFonts w:asciiTheme="minorHAnsi" w:hAnsiTheme="minorHAnsi"/>
          <w:sz w:val="22"/>
          <w:szCs w:val="22"/>
        </w:rPr>
        <w:t xml:space="preserve"> </w:t>
      </w:r>
      <w:r w:rsidR="00257C01" w:rsidRPr="009C62C9">
        <w:rPr>
          <w:rFonts w:asciiTheme="minorHAnsi" w:hAnsiTheme="minorHAnsi"/>
          <w:sz w:val="22"/>
          <w:szCs w:val="22"/>
        </w:rPr>
        <w:t xml:space="preserve">Dersom det etter tildeling blir bedt om innsyn i tilbudet vil </w:t>
      </w:r>
      <w:r w:rsidR="00A2473F" w:rsidRPr="009C62C9">
        <w:rPr>
          <w:rFonts w:asciiTheme="minorHAnsi" w:hAnsiTheme="minorHAnsi"/>
          <w:sz w:val="22"/>
          <w:szCs w:val="22"/>
        </w:rPr>
        <w:t>O</w:t>
      </w:r>
      <w:r w:rsidR="00257C01" w:rsidRPr="009C62C9">
        <w:rPr>
          <w:rFonts w:asciiTheme="minorHAnsi" w:hAnsiTheme="minorHAnsi"/>
          <w:sz w:val="22"/>
          <w:szCs w:val="22"/>
        </w:rPr>
        <w:t>ppdragsgiver derfor vurdere tilbyders sladdede versjon av tilbudet og begrunnelse for sladdingen før det gis innsyn i tilbudet.</w:t>
      </w:r>
      <w:r w:rsidR="00D50EED" w:rsidRPr="009C62C9">
        <w:rPr>
          <w:rFonts w:asciiTheme="minorHAnsi" w:hAnsiTheme="minorHAnsi"/>
          <w:sz w:val="22"/>
          <w:szCs w:val="22"/>
        </w:rPr>
        <w:t xml:space="preserve"> </w:t>
      </w:r>
    </w:p>
    <w:p w14:paraId="5CA41E24" w14:textId="24376571" w:rsidR="001738F5" w:rsidRPr="009C62C9" w:rsidRDefault="00D50EED" w:rsidP="00931E9E">
      <w:pPr>
        <w:pStyle w:val="Default"/>
        <w:spacing w:before="240"/>
        <w:jc w:val="both"/>
        <w:rPr>
          <w:rFonts w:asciiTheme="minorHAnsi" w:hAnsiTheme="minorHAnsi"/>
          <w:sz w:val="22"/>
          <w:szCs w:val="22"/>
        </w:rPr>
      </w:pPr>
      <w:r w:rsidRPr="009C62C9">
        <w:rPr>
          <w:rFonts w:asciiTheme="minorHAnsi" w:hAnsiTheme="minorHAnsi"/>
          <w:sz w:val="22"/>
          <w:szCs w:val="22"/>
        </w:rPr>
        <w:t>Dersom oppdragsgiver i forbindelse med tilbudsinnlevering eller innsynsbegjæringer ikke finner at sladdingen er gjennomført i henhold til overnevnte retningslinjer må tilbyder påregne å få sin versjon i retur og eventuelt begrunne omfanget av sladdingen.  Dette kan medføre utsettelser og unødig</w:t>
      </w:r>
      <w:r w:rsidR="00A2473F" w:rsidRPr="009C62C9">
        <w:rPr>
          <w:rFonts w:asciiTheme="minorHAnsi" w:hAnsiTheme="minorHAnsi"/>
          <w:sz w:val="22"/>
          <w:szCs w:val="22"/>
        </w:rPr>
        <w:t xml:space="preserve"> ressursbruk hos T</w:t>
      </w:r>
      <w:r w:rsidRPr="009C62C9">
        <w:rPr>
          <w:rFonts w:asciiTheme="minorHAnsi" w:hAnsiTheme="minorHAnsi"/>
          <w:sz w:val="22"/>
          <w:szCs w:val="22"/>
        </w:rPr>
        <w:t xml:space="preserve">ilbyder og </w:t>
      </w:r>
      <w:r w:rsidR="00A2473F" w:rsidRPr="009C62C9">
        <w:rPr>
          <w:rFonts w:asciiTheme="minorHAnsi" w:hAnsiTheme="minorHAnsi"/>
          <w:sz w:val="22"/>
          <w:szCs w:val="22"/>
        </w:rPr>
        <w:t>Oppdragsgiver.</w:t>
      </w:r>
      <w:r w:rsidRPr="009C62C9">
        <w:rPr>
          <w:rFonts w:asciiTheme="minorHAnsi" w:hAnsiTheme="minorHAnsi"/>
          <w:sz w:val="22"/>
          <w:szCs w:val="22"/>
        </w:rPr>
        <w:t xml:space="preserve"> </w:t>
      </w:r>
      <w:r w:rsidR="00A2473F" w:rsidRPr="009C62C9">
        <w:rPr>
          <w:rFonts w:asciiTheme="minorHAnsi" w:hAnsiTheme="minorHAnsi"/>
          <w:sz w:val="22"/>
          <w:szCs w:val="22"/>
        </w:rPr>
        <w:t xml:space="preserve">Oppdragsgiver </w:t>
      </w:r>
      <w:r w:rsidRPr="009C62C9">
        <w:rPr>
          <w:rFonts w:asciiTheme="minorHAnsi" w:hAnsiTheme="minorHAnsi"/>
          <w:sz w:val="22"/>
          <w:szCs w:val="22"/>
        </w:rPr>
        <w:t>ber derfor tilbyderne gjøre en grundig vurdering a</w:t>
      </w:r>
      <w:r w:rsidR="006F167F" w:rsidRPr="009C62C9">
        <w:rPr>
          <w:rFonts w:asciiTheme="minorHAnsi" w:hAnsiTheme="minorHAnsi"/>
          <w:sz w:val="22"/>
          <w:szCs w:val="22"/>
        </w:rPr>
        <w:t>v</w:t>
      </w:r>
      <w:r w:rsidRPr="009C62C9">
        <w:rPr>
          <w:rFonts w:asciiTheme="minorHAnsi" w:hAnsiTheme="minorHAnsi"/>
          <w:sz w:val="22"/>
          <w:szCs w:val="22"/>
        </w:rPr>
        <w:t xml:space="preserve"> hvilke opplysninger som skal sladdes og at den gjennomføres i henhold til overnevnte.</w:t>
      </w:r>
    </w:p>
    <w:p w14:paraId="55E61ADD" w14:textId="5F026569" w:rsidR="002A00EF" w:rsidRPr="009C62C9" w:rsidRDefault="002A00EF" w:rsidP="002A00EF">
      <w:pPr>
        <w:pStyle w:val="Default"/>
        <w:rPr>
          <w:rFonts w:asciiTheme="minorHAnsi" w:hAnsiTheme="minorHAnsi"/>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9"/>
        <w:gridCol w:w="741"/>
        <w:gridCol w:w="2344"/>
        <w:gridCol w:w="4743"/>
      </w:tblGrid>
      <w:tr w:rsidR="000A5481" w:rsidRPr="009C62C9" w14:paraId="370D929C" w14:textId="77777777" w:rsidTr="009C62C9">
        <w:trPr>
          <w:trHeight w:val="290"/>
          <w:tblHeader/>
        </w:trPr>
        <w:tc>
          <w:tcPr>
            <w:tcW w:w="1919" w:type="dxa"/>
          </w:tcPr>
          <w:p w14:paraId="77A171FD" w14:textId="77777777" w:rsidR="000A5481" w:rsidRPr="009C62C9" w:rsidRDefault="000A5481">
            <w:pPr>
              <w:pStyle w:val="Default"/>
              <w:rPr>
                <w:rFonts w:asciiTheme="minorHAnsi" w:hAnsiTheme="minorHAnsi"/>
                <w:b/>
                <w:bCs/>
                <w:sz w:val="22"/>
                <w:szCs w:val="22"/>
              </w:rPr>
            </w:pPr>
            <w:r w:rsidRPr="009C62C9">
              <w:rPr>
                <w:rFonts w:asciiTheme="minorHAnsi" w:hAnsiTheme="minorHAnsi"/>
                <w:b/>
                <w:bCs/>
                <w:sz w:val="22"/>
                <w:szCs w:val="22"/>
              </w:rPr>
              <w:t>Vedlegg</w:t>
            </w:r>
          </w:p>
        </w:tc>
        <w:tc>
          <w:tcPr>
            <w:tcW w:w="741" w:type="dxa"/>
          </w:tcPr>
          <w:p w14:paraId="079EF1B9" w14:textId="4EEE0AF6" w:rsidR="000A5481" w:rsidRPr="009C62C9" w:rsidRDefault="000A5481">
            <w:pPr>
              <w:pStyle w:val="Default"/>
              <w:rPr>
                <w:rFonts w:asciiTheme="minorHAnsi" w:hAnsiTheme="minorHAnsi"/>
                <w:sz w:val="22"/>
                <w:szCs w:val="22"/>
              </w:rPr>
            </w:pPr>
            <w:proofErr w:type="spellStart"/>
            <w:r w:rsidRPr="009C62C9">
              <w:rPr>
                <w:rFonts w:asciiTheme="minorHAnsi" w:hAnsiTheme="minorHAnsi"/>
                <w:b/>
                <w:bCs/>
                <w:sz w:val="22"/>
                <w:szCs w:val="22"/>
              </w:rPr>
              <w:t>P</w:t>
            </w:r>
            <w:r w:rsidR="00D7754D">
              <w:rPr>
                <w:rFonts w:asciiTheme="minorHAnsi" w:hAnsiTheme="minorHAnsi"/>
                <w:b/>
                <w:bCs/>
                <w:sz w:val="22"/>
                <w:szCs w:val="22"/>
              </w:rPr>
              <w:t>kt</w:t>
            </w:r>
            <w:proofErr w:type="spellEnd"/>
          </w:p>
        </w:tc>
        <w:tc>
          <w:tcPr>
            <w:tcW w:w="2344" w:type="dxa"/>
          </w:tcPr>
          <w:p w14:paraId="77ABEE97" w14:textId="77777777" w:rsidR="000A5481" w:rsidRPr="009C62C9" w:rsidRDefault="000A5481">
            <w:pPr>
              <w:pStyle w:val="Default"/>
              <w:rPr>
                <w:rFonts w:asciiTheme="minorHAnsi" w:hAnsiTheme="minorHAnsi"/>
                <w:sz w:val="22"/>
                <w:szCs w:val="22"/>
              </w:rPr>
            </w:pPr>
            <w:r w:rsidRPr="009C62C9">
              <w:rPr>
                <w:rFonts w:asciiTheme="minorHAnsi" w:hAnsiTheme="minorHAnsi"/>
                <w:b/>
                <w:bCs/>
                <w:sz w:val="22"/>
                <w:szCs w:val="22"/>
              </w:rPr>
              <w:t xml:space="preserve">Plasseringssted </w:t>
            </w:r>
          </w:p>
        </w:tc>
        <w:tc>
          <w:tcPr>
            <w:tcW w:w="4743" w:type="dxa"/>
          </w:tcPr>
          <w:p w14:paraId="19ED1364" w14:textId="7C3B58EB" w:rsidR="000A5481" w:rsidRPr="009C62C9" w:rsidRDefault="000A5481" w:rsidP="00603F3B">
            <w:pPr>
              <w:pStyle w:val="Default"/>
              <w:rPr>
                <w:rFonts w:asciiTheme="minorHAnsi" w:hAnsiTheme="minorHAnsi"/>
                <w:sz w:val="22"/>
                <w:szCs w:val="22"/>
              </w:rPr>
            </w:pPr>
            <w:r w:rsidRPr="009C62C9">
              <w:rPr>
                <w:rFonts w:asciiTheme="minorHAnsi" w:hAnsiTheme="minorHAnsi"/>
                <w:b/>
                <w:bCs/>
                <w:sz w:val="22"/>
                <w:szCs w:val="22"/>
              </w:rPr>
              <w:t xml:space="preserve">Tilbyders begrunnelse for hvorfor opplysningene må anses som </w:t>
            </w:r>
            <w:r w:rsidR="00603F3B" w:rsidRPr="009C62C9">
              <w:rPr>
                <w:rFonts w:asciiTheme="minorHAnsi" w:hAnsiTheme="minorHAnsi"/>
                <w:b/>
                <w:bCs/>
                <w:sz w:val="22"/>
                <w:szCs w:val="22"/>
              </w:rPr>
              <w:t>taushetsbelagte</w:t>
            </w:r>
            <w:r w:rsidR="006F167F" w:rsidRPr="009C62C9">
              <w:rPr>
                <w:rFonts w:asciiTheme="minorHAnsi" w:hAnsiTheme="minorHAnsi"/>
                <w:b/>
                <w:bCs/>
                <w:sz w:val="22"/>
                <w:szCs w:val="22"/>
              </w:rPr>
              <w:t xml:space="preserve"> </w:t>
            </w:r>
            <w:r w:rsidRPr="009C62C9">
              <w:rPr>
                <w:rFonts w:asciiTheme="minorHAnsi" w:hAnsiTheme="minorHAnsi"/>
                <w:b/>
                <w:bCs/>
                <w:sz w:val="22"/>
                <w:szCs w:val="22"/>
              </w:rPr>
              <w:t>og må unntas offentlighet.</w:t>
            </w:r>
          </w:p>
        </w:tc>
      </w:tr>
      <w:tr w:rsidR="000A5481" w:rsidRPr="009C62C9" w14:paraId="47554DF5" w14:textId="77777777" w:rsidTr="000A5481">
        <w:trPr>
          <w:trHeight w:val="355"/>
        </w:trPr>
        <w:tc>
          <w:tcPr>
            <w:tcW w:w="1919" w:type="dxa"/>
          </w:tcPr>
          <w:p w14:paraId="1EBE35C1" w14:textId="79F96853" w:rsidR="000A5481" w:rsidRPr="009C62C9" w:rsidRDefault="000A5481">
            <w:pPr>
              <w:pStyle w:val="Default"/>
              <w:rPr>
                <w:rFonts w:asciiTheme="minorHAnsi" w:hAnsiTheme="minorHAnsi"/>
                <w:sz w:val="22"/>
                <w:szCs w:val="22"/>
              </w:rPr>
            </w:pPr>
          </w:p>
        </w:tc>
        <w:tc>
          <w:tcPr>
            <w:tcW w:w="741" w:type="dxa"/>
          </w:tcPr>
          <w:p w14:paraId="0220E0BE" w14:textId="702429AB" w:rsidR="000A5481" w:rsidRPr="009C62C9" w:rsidRDefault="000A5481">
            <w:pPr>
              <w:pStyle w:val="Default"/>
              <w:rPr>
                <w:rFonts w:asciiTheme="minorHAnsi" w:hAnsiTheme="minorHAnsi"/>
                <w:sz w:val="22"/>
                <w:szCs w:val="22"/>
              </w:rPr>
            </w:pPr>
          </w:p>
        </w:tc>
        <w:tc>
          <w:tcPr>
            <w:tcW w:w="2344" w:type="dxa"/>
          </w:tcPr>
          <w:p w14:paraId="425A9245" w14:textId="365F6627" w:rsidR="000A5481" w:rsidRPr="009C62C9" w:rsidRDefault="000A5481">
            <w:pPr>
              <w:pStyle w:val="Default"/>
              <w:rPr>
                <w:rFonts w:asciiTheme="minorHAnsi" w:hAnsiTheme="minorHAnsi"/>
                <w:sz w:val="22"/>
                <w:szCs w:val="22"/>
              </w:rPr>
            </w:pPr>
          </w:p>
        </w:tc>
        <w:tc>
          <w:tcPr>
            <w:tcW w:w="4743" w:type="dxa"/>
          </w:tcPr>
          <w:p w14:paraId="27AA3238" w14:textId="04DEC8B4" w:rsidR="000A5481" w:rsidRPr="009C62C9" w:rsidRDefault="000A5481" w:rsidP="000A5481">
            <w:pPr>
              <w:pStyle w:val="Default"/>
              <w:rPr>
                <w:rFonts w:asciiTheme="minorHAnsi" w:hAnsiTheme="minorHAnsi"/>
                <w:sz w:val="22"/>
                <w:szCs w:val="22"/>
              </w:rPr>
            </w:pPr>
          </w:p>
        </w:tc>
      </w:tr>
      <w:tr w:rsidR="00D50EED" w:rsidRPr="009C62C9" w14:paraId="0D43F2F8" w14:textId="77777777" w:rsidTr="000A5481">
        <w:trPr>
          <w:trHeight w:val="355"/>
        </w:trPr>
        <w:tc>
          <w:tcPr>
            <w:tcW w:w="1919" w:type="dxa"/>
          </w:tcPr>
          <w:p w14:paraId="55DCAEC6" w14:textId="77777777" w:rsidR="00D50EED" w:rsidRPr="009C62C9" w:rsidRDefault="00D50EED" w:rsidP="00D50EED">
            <w:pPr>
              <w:pStyle w:val="Default"/>
              <w:rPr>
                <w:rFonts w:asciiTheme="minorHAnsi" w:hAnsiTheme="minorHAnsi"/>
                <w:sz w:val="22"/>
                <w:szCs w:val="22"/>
              </w:rPr>
            </w:pPr>
          </w:p>
        </w:tc>
        <w:tc>
          <w:tcPr>
            <w:tcW w:w="741" w:type="dxa"/>
          </w:tcPr>
          <w:p w14:paraId="0E29CF2E" w14:textId="77777777" w:rsidR="00D50EED" w:rsidRPr="009C62C9" w:rsidRDefault="00D50EED" w:rsidP="00D50EED">
            <w:pPr>
              <w:pStyle w:val="Default"/>
              <w:rPr>
                <w:rFonts w:asciiTheme="minorHAnsi" w:hAnsiTheme="minorHAnsi"/>
                <w:sz w:val="22"/>
                <w:szCs w:val="22"/>
              </w:rPr>
            </w:pPr>
          </w:p>
        </w:tc>
        <w:tc>
          <w:tcPr>
            <w:tcW w:w="2344" w:type="dxa"/>
          </w:tcPr>
          <w:p w14:paraId="74FDC4BD" w14:textId="77777777" w:rsidR="00D50EED" w:rsidRPr="009C62C9" w:rsidRDefault="00D50EED" w:rsidP="00D50EED">
            <w:pPr>
              <w:pStyle w:val="Default"/>
              <w:rPr>
                <w:rFonts w:asciiTheme="minorHAnsi" w:hAnsiTheme="minorHAnsi"/>
                <w:sz w:val="22"/>
                <w:szCs w:val="22"/>
              </w:rPr>
            </w:pPr>
          </w:p>
        </w:tc>
        <w:tc>
          <w:tcPr>
            <w:tcW w:w="4743" w:type="dxa"/>
          </w:tcPr>
          <w:p w14:paraId="46718D3B" w14:textId="77777777" w:rsidR="00D50EED" w:rsidRPr="009C62C9" w:rsidRDefault="00D50EED" w:rsidP="00D50EED">
            <w:pPr>
              <w:pStyle w:val="Default"/>
              <w:rPr>
                <w:rFonts w:asciiTheme="minorHAnsi" w:hAnsiTheme="minorHAnsi"/>
                <w:sz w:val="22"/>
                <w:szCs w:val="22"/>
              </w:rPr>
            </w:pPr>
          </w:p>
        </w:tc>
      </w:tr>
      <w:tr w:rsidR="00A2473F" w:rsidRPr="009C62C9" w14:paraId="6D216F23" w14:textId="77777777" w:rsidTr="000A5481">
        <w:trPr>
          <w:trHeight w:val="355"/>
        </w:trPr>
        <w:tc>
          <w:tcPr>
            <w:tcW w:w="1919" w:type="dxa"/>
          </w:tcPr>
          <w:p w14:paraId="1D0A95DB" w14:textId="77777777" w:rsidR="00A2473F" w:rsidRPr="009C62C9" w:rsidRDefault="00A2473F" w:rsidP="00D50EED">
            <w:pPr>
              <w:pStyle w:val="Default"/>
              <w:rPr>
                <w:rFonts w:asciiTheme="minorHAnsi" w:hAnsiTheme="minorHAnsi"/>
                <w:sz w:val="22"/>
                <w:szCs w:val="22"/>
              </w:rPr>
            </w:pPr>
          </w:p>
        </w:tc>
        <w:tc>
          <w:tcPr>
            <w:tcW w:w="741" w:type="dxa"/>
          </w:tcPr>
          <w:p w14:paraId="3A23A510" w14:textId="77777777" w:rsidR="00A2473F" w:rsidRPr="009C62C9" w:rsidRDefault="00A2473F" w:rsidP="00D50EED">
            <w:pPr>
              <w:pStyle w:val="Default"/>
              <w:rPr>
                <w:rFonts w:asciiTheme="minorHAnsi" w:hAnsiTheme="minorHAnsi"/>
                <w:sz w:val="22"/>
                <w:szCs w:val="22"/>
              </w:rPr>
            </w:pPr>
          </w:p>
        </w:tc>
        <w:tc>
          <w:tcPr>
            <w:tcW w:w="2344" w:type="dxa"/>
          </w:tcPr>
          <w:p w14:paraId="04801AA0" w14:textId="77777777" w:rsidR="00A2473F" w:rsidRPr="009C62C9" w:rsidRDefault="00A2473F" w:rsidP="00D50EED">
            <w:pPr>
              <w:pStyle w:val="Default"/>
              <w:rPr>
                <w:rFonts w:asciiTheme="minorHAnsi" w:hAnsiTheme="minorHAnsi"/>
                <w:sz w:val="22"/>
                <w:szCs w:val="22"/>
              </w:rPr>
            </w:pPr>
          </w:p>
        </w:tc>
        <w:tc>
          <w:tcPr>
            <w:tcW w:w="4743" w:type="dxa"/>
          </w:tcPr>
          <w:p w14:paraId="418A2E5D" w14:textId="77777777" w:rsidR="00A2473F" w:rsidRPr="009C62C9" w:rsidRDefault="00A2473F" w:rsidP="00D50EED">
            <w:pPr>
              <w:pStyle w:val="Default"/>
              <w:rPr>
                <w:rFonts w:asciiTheme="minorHAnsi" w:hAnsiTheme="minorHAnsi"/>
                <w:sz w:val="22"/>
                <w:szCs w:val="22"/>
              </w:rPr>
            </w:pPr>
          </w:p>
        </w:tc>
      </w:tr>
      <w:tr w:rsidR="00A2473F" w:rsidRPr="009C62C9" w14:paraId="7AFD1E6C" w14:textId="77777777" w:rsidTr="000A5481">
        <w:trPr>
          <w:trHeight w:val="355"/>
        </w:trPr>
        <w:tc>
          <w:tcPr>
            <w:tcW w:w="1919" w:type="dxa"/>
          </w:tcPr>
          <w:p w14:paraId="2C8FBD32" w14:textId="77777777" w:rsidR="00A2473F" w:rsidRPr="009C62C9" w:rsidRDefault="00A2473F" w:rsidP="00D50EED">
            <w:pPr>
              <w:pStyle w:val="Default"/>
              <w:rPr>
                <w:rFonts w:asciiTheme="minorHAnsi" w:hAnsiTheme="minorHAnsi"/>
                <w:sz w:val="22"/>
                <w:szCs w:val="22"/>
              </w:rPr>
            </w:pPr>
          </w:p>
        </w:tc>
        <w:tc>
          <w:tcPr>
            <w:tcW w:w="741" w:type="dxa"/>
          </w:tcPr>
          <w:p w14:paraId="2159EB80" w14:textId="77777777" w:rsidR="00A2473F" w:rsidRPr="009C62C9" w:rsidRDefault="00A2473F" w:rsidP="00D50EED">
            <w:pPr>
              <w:pStyle w:val="Default"/>
              <w:rPr>
                <w:rFonts w:asciiTheme="minorHAnsi" w:hAnsiTheme="minorHAnsi"/>
                <w:sz w:val="22"/>
                <w:szCs w:val="22"/>
              </w:rPr>
            </w:pPr>
          </w:p>
        </w:tc>
        <w:tc>
          <w:tcPr>
            <w:tcW w:w="2344" w:type="dxa"/>
          </w:tcPr>
          <w:p w14:paraId="11AC5A28" w14:textId="77777777" w:rsidR="00A2473F" w:rsidRPr="009C62C9" w:rsidRDefault="00A2473F" w:rsidP="00D50EED">
            <w:pPr>
              <w:pStyle w:val="Default"/>
              <w:rPr>
                <w:rFonts w:asciiTheme="minorHAnsi" w:hAnsiTheme="minorHAnsi"/>
                <w:sz w:val="22"/>
                <w:szCs w:val="22"/>
              </w:rPr>
            </w:pPr>
          </w:p>
        </w:tc>
        <w:tc>
          <w:tcPr>
            <w:tcW w:w="4743" w:type="dxa"/>
          </w:tcPr>
          <w:p w14:paraId="1C0B5D0B" w14:textId="77777777" w:rsidR="00A2473F" w:rsidRPr="009C62C9" w:rsidRDefault="00A2473F" w:rsidP="00D50EED">
            <w:pPr>
              <w:pStyle w:val="Default"/>
              <w:rPr>
                <w:rFonts w:asciiTheme="minorHAnsi" w:hAnsiTheme="minorHAnsi"/>
                <w:sz w:val="22"/>
                <w:szCs w:val="22"/>
              </w:rPr>
            </w:pPr>
          </w:p>
        </w:tc>
      </w:tr>
      <w:tr w:rsidR="00BD2F93" w:rsidRPr="009C62C9" w14:paraId="4272FD28" w14:textId="77777777" w:rsidTr="000A5481">
        <w:trPr>
          <w:trHeight w:val="355"/>
        </w:trPr>
        <w:tc>
          <w:tcPr>
            <w:tcW w:w="1919" w:type="dxa"/>
          </w:tcPr>
          <w:p w14:paraId="348DE9E5" w14:textId="77777777" w:rsidR="00BD2F93" w:rsidRPr="009C62C9" w:rsidRDefault="00BD2F93" w:rsidP="00D50EED">
            <w:pPr>
              <w:pStyle w:val="Default"/>
              <w:rPr>
                <w:rFonts w:asciiTheme="minorHAnsi" w:hAnsiTheme="minorHAnsi"/>
                <w:sz w:val="22"/>
                <w:szCs w:val="22"/>
              </w:rPr>
            </w:pPr>
          </w:p>
        </w:tc>
        <w:tc>
          <w:tcPr>
            <w:tcW w:w="741" w:type="dxa"/>
          </w:tcPr>
          <w:p w14:paraId="4352CAA3" w14:textId="77777777" w:rsidR="00BD2F93" w:rsidRPr="009C62C9" w:rsidRDefault="00BD2F93" w:rsidP="00D50EED">
            <w:pPr>
              <w:pStyle w:val="Default"/>
              <w:rPr>
                <w:rFonts w:asciiTheme="minorHAnsi" w:hAnsiTheme="minorHAnsi"/>
                <w:sz w:val="22"/>
                <w:szCs w:val="22"/>
              </w:rPr>
            </w:pPr>
          </w:p>
        </w:tc>
        <w:tc>
          <w:tcPr>
            <w:tcW w:w="2344" w:type="dxa"/>
          </w:tcPr>
          <w:p w14:paraId="5A349DE3" w14:textId="77777777" w:rsidR="00BD2F93" w:rsidRPr="009C62C9" w:rsidRDefault="00BD2F93" w:rsidP="00D50EED">
            <w:pPr>
              <w:pStyle w:val="Default"/>
              <w:rPr>
                <w:rFonts w:asciiTheme="minorHAnsi" w:hAnsiTheme="minorHAnsi"/>
                <w:sz w:val="22"/>
                <w:szCs w:val="22"/>
              </w:rPr>
            </w:pPr>
          </w:p>
        </w:tc>
        <w:tc>
          <w:tcPr>
            <w:tcW w:w="4743" w:type="dxa"/>
          </w:tcPr>
          <w:p w14:paraId="2F9A0307" w14:textId="77777777" w:rsidR="00BD2F93" w:rsidRPr="009C62C9" w:rsidRDefault="00BD2F93" w:rsidP="00D50EED">
            <w:pPr>
              <w:pStyle w:val="Default"/>
              <w:rPr>
                <w:rFonts w:asciiTheme="minorHAnsi" w:hAnsiTheme="minorHAnsi"/>
                <w:sz w:val="22"/>
                <w:szCs w:val="22"/>
              </w:rPr>
            </w:pPr>
          </w:p>
        </w:tc>
      </w:tr>
      <w:tr w:rsidR="00BD2F93" w:rsidRPr="009C62C9" w14:paraId="154DB804" w14:textId="77777777" w:rsidTr="000A5481">
        <w:trPr>
          <w:trHeight w:val="355"/>
        </w:trPr>
        <w:tc>
          <w:tcPr>
            <w:tcW w:w="1919" w:type="dxa"/>
          </w:tcPr>
          <w:p w14:paraId="5066CAA9" w14:textId="77777777" w:rsidR="00BD2F93" w:rsidRPr="009C62C9" w:rsidRDefault="00BD2F93" w:rsidP="00D50EED">
            <w:pPr>
              <w:pStyle w:val="Default"/>
              <w:rPr>
                <w:rFonts w:asciiTheme="minorHAnsi" w:hAnsiTheme="minorHAnsi"/>
                <w:sz w:val="22"/>
                <w:szCs w:val="22"/>
              </w:rPr>
            </w:pPr>
          </w:p>
        </w:tc>
        <w:tc>
          <w:tcPr>
            <w:tcW w:w="741" w:type="dxa"/>
          </w:tcPr>
          <w:p w14:paraId="12799B26" w14:textId="77777777" w:rsidR="00BD2F93" w:rsidRPr="009C62C9" w:rsidRDefault="00BD2F93" w:rsidP="00D50EED">
            <w:pPr>
              <w:pStyle w:val="Default"/>
              <w:rPr>
                <w:rFonts w:asciiTheme="minorHAnsi" w:hAnsiTheme="minorHAnsi"/>
                <w:sz w:val="22"/>
                <w:szCs w:val="22"/>
              </w:rPr>
            </w:pPr>
          </w:p>
        </w:tc>
        <w:tc>
          <w:tcPr>
            <w:tcW w:w="2344" w:type="dxa"/>
          </w:tcPr>
          <w:p w14:paraId="5E41CDE8" w14:textId="77777777" w:rsidR="00BD2F93" w:rsidRPr="009C62C9" w:rsidRDefault="00BD2F93" w:rsidP="00D50EED">
            <w:pPr>
              <w:pStyle w:val="Default"/>
              <w:rPr>
                <w:rFonts w:asciiTheme="minorHAnsi" w:hAnsiTheme="minorHAnsi"/>
                <w:sz w:val="22"/>
                <w:szCs w:val="22"/>
              </w:rPr>
            </w:pPr>
          </w:p>
        </w:tc>
        <w:tc>
          <w:tcPr>
            <w:tcW w:w="4743" w:type="dxa"/>
          </w:tcPr>
          <w:p w14:paraId="1D85139A" w14:textId="77777777" w:rsidR="00BD2F93" w:rsidRPr="009C62C9" w:rsidRDefault="00BD2F93" w:rsidP="00D50EED">
            <w:pPr>
              <w:pStyle w:val="Default"/>
              <w:rPr>
                <w:rFonts w:asciiTheme="minorHAnsi" w:hAnsiTheme="minorHAnsi"/>
                <w:sz w:val="22"/>
                <w:szCs w:val="22"/>
              </w:rPr>
            </w:pPr>
          </w:p>
        </w:tc>
      </w:tr>
      <w:tr w:rsidR="00BD2F93" w:rsidRPr="009C62C9" w14:paraId="4EE73303" w14:textId="77777777" w:rsidTr="000A5481">
        <w:trPr>
          <w:trHeight w:val="355"/>
        </w:trPr>
        <w:tc>
          <w:tcPr>
            <w:tcW w:w="1919" w:type="dxa"/>
          </w:tcPr>
          <w:p w14:paraId="6199265A" w14:textId="77777777" w:rsidR="00BD2F93" w:rsidRPr="009C62C9" w:rsidRDefault="00BD2F93" w:rsidP="00D50EED">
            <w:pPr>
              <w:pStyle w:val="Default"/>
              <w:rPr>
                <w:rFonts w:asciiTheme="minorHAnsi" w:hAnsiTheme="minorHAnsi"/>
                <w:sz w:val="22"/>
                <w:szCs w:val="22"/>
              </w:rPr>
            </w:pPr>
          </w:p>
        </w:tc>
        <w:tc>
          <w:tcPr>
            <w:tcW w:w="741" w:type="dxa"/>
          </w:tcPr>
          <w:p w14:paraId="4B612DAD" w14:textId="77777777" w:rsidR="00BD2F93" w:rsidRPr="009C62C9" w:rsidRDefault="00BD2F93" w:rsidP="00D50EED">
            <w:pPr>
              <w:pStyle w:val="Default"/>
              <w:rPr>
                <w:rFonts w:asciiTheme="minorHAnsi" w:hAnsiTheme="minorHAnsi"/>
                <w:sz w:val="22"/>
                <w:szCs w:val="22"/>
              </w:rPr>
            </w:pPr>
          </w:p>
        </w:tc>
        <w:tc>
          <w:tcPr>
            <w:tcW w:w="2344" w:type="dxa"/>
          </w:tcPr>
          <w:p w14:paraId="6A221DA9" w14:textId="77777777" w:rsidR="00BD2F93" w:rsidRPr="009C62C9" w:rsidRDefault="00BD2F93" w:rsidP="00D50EED">
            <w:pPr>
              <w:pStyle w:val="Default"/>
              <w:rPr>
                <w:rFonts w:asciiTheme="minorHAnsi" w:hAnsiTheme="minorHAnsi"/>
                <w:sz w:val="22"/>
                <w:szCs w:val="22"/>
              </w:rPr>
            </w:pPr>
          </w:p>
        </w:tc>
        <w:tc>
          <w:tcPr>
            <w:tcW w:w="4743" w:type="dxa"/>
          </w:tcPr>
          <w:p w14:paraId="39D8D81A" w14:textId="77777777" w:rsidR="00BD2F93" w:rsidRPr="009C62C9" w:rsidRDefault="00BD2F93" w:rsidP="00D50EED">
            <w:pPr>
              <w:pStyle w:val="Default"/>
              <w:rPr>
                <w:rFonts w:asciiTheme="minorHAnsi" w:hAnsiTheme="minorHAnsi"/>
                <w:sz w:val="22"/>
                <w:szCs w:val="22"/>
              </w:rPr>
            </w:pPr>
          </w:p>
        </w:tc>
      </w:tr>
      <w:tr w:rsidR="00BD2F93" w:rsidRPr="009C62C9" w14:paraId="33DCD9EC" w14:textId="77777777" w:rsidTr="000A5481">
        <w:trPr>
          <w:trHeight w:val="355"/>
        </w:trPr>
        <w:tc>
          <w:tcPr>
            <w:tcW w:w="1919" w:type="dxa"/>
          </w:tcPr>
          <w:p w14:paraId="169CE491" w14:textId="77777777" w:rsidR="00BD2F93" w:rsidRPr="009C62C9" w:rsidRDefault="00BD2F93" w:rsidP="00D50EED">
            <w:pPr>
              <w:pStyle w:val="Default"/>
              <w:rPr>
                <w:rFonts w:asciiTheme="minorHAnsi" w:hAnsiTheme="minorHAnsi"/>
                <w:sz w:val="22"/>
                <w:szCs w:val="22"/>
              </w:rPr>
            </w:pPr>
          </w:p>
        </w:tc>
        <w:tc>
          <w:tcPr>
            <w:tcW w:w="741" w:type="dxa"/>
          </w:tcPr>
          <w:p w14:paraId="1BF9466D" w14:textId="77777777" w:rsidR="00BD2F93" w:rsidRPr="009C62C9" w:rsidRDefault="00BD2F93" w:rsidP="00D50EED">
            <w:pPr>
              <w:pStyle w:val="Default"/>
              <w:rPr>
                <w:rFonts w:asciiTheme="minorHAnsi" w:hAnsiTheme="minorHAnsi"/>
                <w:sz w:val="22"/>
                <w:szCs w:val="22"/>
              </w:rPr>
            </w:pPr>
          </w:p>
        </w:tc>
        <w:tc>
          <w:tcPr>
            <w:tcW w:w="2344" w:type="dxa"/>
          </w:tcPr>
          <w:p w14:paraId="450F7C78" w14:textId="77777777" w:rsidR="00BD2F93" w:rsidRPr="009C62C9" w:rsidRDefault="00BD2F93" w:rsidP="00D50EED">
            <w:pPr>
              <w:pStyle w:val="Default"/>
              <w:rPr>
                <w:rFonts w:asciiTheme="minorHAnsi" w:hAnsiTheme="minorHAnsi"/>
                <w:sz w:val="22"/>
                <w:szCs w:val="22"/>
              </w:rPr>
            </w:pPr>
          </w:p>
        </w:tc>
        <w:tc>
          <w:tcPr>
            <w:tcW w:w="4743" w:type="dxa"/>
          </w:tcPr>
          <w:p w14:paraId="7E26DC42" w14:textId="77777777" w:rsidR="00BD2F93" w:rsidRPr="009C62C9" w:rsidRDefault="00BD2F93" w:rsidP="00D50EED">
            <w:pPr>
              <w:pStyle w:val="Default"/>
              <w:rPr>
                <w:rFonts w:asciiTheme="minorHAnsi" w:hAnsiTheme="minorHAnsi"/>
                <w:sz w:val="22"/>
                <w:szCs w:val="22"/>
              </w:rPr>
            </w:pPr>
          </w:p>
        </w:tc>
      </w:tr>
      <w:tr w:rsidR="00BD2F93" w:rsidRPr="009C62C9" w14:paraId="3EB7D2F4" w14:textId="77777777" w:rsidTr="000A5481">
        <w:trPr>
          <w:trHeight w:val="355"/>
        </w:trPr>
        <w:tc>
          <w:tcPr>
            <w:tcW w:w="1919" w:type="dxa"/>
          </w:tcPr>
          <w:p w14:paraId="017D48CD" w14:textId="77777777" w:rsidR="00BD2F93" w:rsidRPr="009C62C9" w:rsidRDefault="00BD2F93" w:rsidP="00D50EED">
            <w:pPr>
              <w:pStyle w:val="Default"/>
              <w:rPr>
                <w:rFonts w:asciiTheme="minorHAnsi" w:hAnsiTheme="minorHAnsi"/>
                <w:sz w:val="22"/>
                <w:szCs w:val="22"/>
              </w:rPr>
            </w:pPr>
          </w:p>
        </w:tc>
        <w:tc>
          <w:tcPr>
            <w:tcW w:w="741" w:type="dxa"/>
          </w:tcPr>
          <w:p w14:paraId="3E5E93B9" w14:textId="77777777" w:rsidR="00BD2F93" w:rsidRPr="009C62C9" w:rsidRDefault="00BD2F93" w:rsidP="00D50EED">
            <w:pPr>
              <w:pStyle w:val="Default"/>
              <w:rPr>
                <w:rFonts w:asciiTheme="minorHAnsi" w:hAnsiTheme="minorHAnsi"/>
                <w:sz w:val="22"/>
                <w:szCs w:val="22"/>
              </w:rPr>
            </w:pPr>
          </w:p>
        </w:tc>
        <w:tc>
          <w:tcPr>
            <w:tcW w:w="2344" w:type="dxa"/>
          </w:tcPr>
          <w:p w14:paraId="4D560356" w14:textId="77777777" w:rsidR="00BD2F93" w:rsidRPr="009C62C9" w:rsidRDefault="00BD2F93" w:rsidP="00D50EED">
            <w:pPr>
              <w:pStyle w:val="Default"/>
              <w:rPr>
                <w:rFonts w:asciiTheme="minorHAnsi" w:hAnsiTheme="minorHAnsi"/>
                <w:sz w:val="22"/>
                <w:szCs w:val="22"/>
              </w:rPr>
            </w:pPr>
          </w:p>
        </w:tc>
        <w:tc>
          <w:tcPr>
            <w:tcW w:w="4743" w:type="dxa"/>
          </w:tcPr>
          <w:p w14:paraId="77CAEB75" w14:textId="77777777" w:rsidR="00BD2F93" w:rsidRPr="009C62C9" w:rsidRDefault="00BD2F93" w:rsidP="00D50EED">
            <w:pPr>
              <w:pStyle w:val="Default"/>
              <w:rPr>
                <w:rFonts w:asciiTheme="minorHAnsi" w:hAnsiTheme="minorHAnsi"/>
                <w:sz w:val="22"/>
                <w:szCs w:val="22"/>
              </w:rPr>
            </w:pPr>
          </w:p>
        </w:tc>
      </w:tr>
      <w:tr w:rsidR="00BD2F93" w:rsidRPr="009C62C9" w14:paraId="1728DE5C" w14:textId="77777777" w:rsidTr="000A5481">
        <w:trPr>
          <w:trHeight w:val="355"/>
        </w:trPr>
        <w:tc>
          <w:tcPr>
            <w:tcW w:w="1919" w:type="dxa"/>
          </w:tcPr>
          <w:p w14:paraId="2D24A040" w14:textId="77777777" w:rsidR="00BD2F93" w:rsidRPr="009C62C9" w:rsidRDefault="00BD2F93" w:rsidP="00D50EED">
            <w:pPr>
              <w:pStyle w:val="Default"/>
              <w:rPr>
                <w:rFonts w:asciiTheme="minorHAnsi" w:hAnsiTheme="minorHAnsi"/>
                <w:sz w:val="22"/>
                <w:szCs w:val="22"/>
              </w:rPr>
            </w:pPr>
          </w:p>
        </w:tc>
        <w:tc>
          <w:tcPr>
            <w:tcW w:w="741" w:type="dxa"/>
          </w:tcPr>
          <w:p w14:paraId="71248745" w14:textId="77777777" w:rsidR="00BD2F93" w:rsidRPr="009C62C9" w:rsidRDefault="00BD2F93" w:rsidP="00D50EED">
            <w:pPr>
              <w:pStyle w:val="Default"/>
              <w:rPr>
                <w:rFonts w:asciiTheme="minorHAnsi" w:hAnsiTheme="minorHAnsi"/>
                <w:sz w:val="22"/>
                <w:szCs w:val="22"/>
              </w:rPr>
            </w:pPr>
          </w:p>
        </w:tc>
        <w:tc>
          <w:tcPr>
            <w:tcW w:w="2344" w:type="dxa"/>
          </w:tcPr>
          <w:p w14:paraId="216661F9" w14:textId="77777777" w:rsidR="00BD2F93" w:rsidRPr="009C62C9" w:rsidRDefault="00BD2F93" w:rsidP="00D50EED">
            <w:pPr>
              <w:pStyle w:val="Default"/>
              <w:rPr>
                <w:rFonts w:asciiTheme="minorHAnsi" w:hAnsiTheme="minorHAnsi"/>
                <w:sz w:val="22"/>
                <w:szCs w:val="22"/>
              </w:rPr>
            </w:pPr>
          </w:p>
        </w:tc>
        <w:tc>
          <w:tcPr>
            <w:tcW w:w="4743" w:type="dxa"/>
          </w:tcPr>
          <w:p w14:paraId="6FC94354" w14:textId="77777777" w:rsidR="00BD2F93" w:rsidRPr="009C62C9" w:rsidRDefault="00BD2F93" w:rsidP="00D50EED">
            <w:pPr>
              <w:pStyle w:val="Default"/>
              <w:rPr>
                <w:rFonts w:asciiTheme="minorHAnsi" w:hAnsiTheme="minorHAnsi"/>
                <w:sz w:val="22"/>
                <w:szCs w:val="22"/>
              </w:rPr>
            </w:pPr>
          </w:p>
        </w:tc>
      </w:tr>
      <w:tr w:rsidR="00BD2F93" w:rsidRPr="009C62C9" w14:paraId="2DFF9488" w14:textId="77777777" w:rsidTr="000A5481">
        <w:trPr>
          <w:trHeight w:val="355"/>
        </w:trPr>
        <w:tc>
          <w:tcPr>
            <w:tcW w:w="1919" w:type="dxa"/>
          </w:tcPr>
          <w:p w14:paraId="15E73808" w14:textId="77777777" w:rsidR="00BD2F93" w:rsidRPr="009C62C9" w:rsidRDefault="00BD2F93" w:rsidP="00D50EED">
            <w:pPr>
              <w:pStyle w:val="Default"/>
              <w:rPr>
                <w:rFonts w:asciiTheme="minorHAnsi" w:hAnsiTheme="minorHAnsi"/>
                <w:sz w:val="22"/>
                <w:szCs w:val="22"/>
              </w:rPr>
            </w:pPr>
          </w:p>
        </w:tc>
        <w:tc>
          <w:tcPr>
            <w:tcW w:w="741" w:type="dxa"/>
          </w:tcPr>
          <w:p w14:paraId="625D3EC1" w14:textId="77777777" w:rsidR="00BD2F93" w:rsidRPr="009C62C9" w:rsidRDefault="00BD2F93" w:rsidP="00D50EED">
            <w:pPr>
              <w:pStyle w:val="Default"/>
              <w:rPr>
                <w:rFonts w:asciiTheme="minorHAnsi" w:hAnsiTheme="minorHAnsi"/>
                <w:sz w:val="22"/>
                <w:szCs w:val="22"/>
              </w:rPr>
            </w:pPr>
          </w:p>
        </w:tc>
        <w:tc>
          <w:tcPr>
            <w:tcW w:w="2344" w:type="dxa"/>
          </w:tcPr>
          <w:p w14:paraId="2E3D66A1" w14:textId="77777777" w:rsidR="00BD2F93" w:rsidRPr="009C62C9" w:rsidRDefault="00BD2F93" w:rsidP="00D50EED">
            <w:pPr>
              <w:pStyle w:val="Default"/>
              <w:rPr>
                <w:rFonts w:asciiTheme="minorHAnsi" w:hAnsiTheme="minorHAnsi"/>
                <w:sz w:val="22"/>
                <w:szCs w:val="22"/>
              </w:rPr>
            </w:pPr>
          </w:p>
        </w:tc>
        <w:tc>
          <w:tcPr>
            <w:tcW w:w="4743" w:type="dxa"/>
          </w:tcPr>
          <w:p w14:paraId="0496F347" w14:textId="77777777" w:rsidR="00BD2F93" w:rsidRPr="009C62C9" w:rsidRDefault="00BD2F93" w:rsidP="00D50EED">
            <w:pPr>
              <w:pStyle w:val="Default"/>
              <w:rPr>
                <w:rFonts w:asciiTheme="minorHAnsi" w:hAnsiTheme="minorHAnsi"/>
                <w:sz w:val="22"/>
                <w:szCs w:val="22"/>
              </w:rPr>
            </w:pPr>
          </w:p>
        </w:tc>
      </w:tr>
      <w:tr w:rsidR="00BD2F93" w:rsidRPr="009C62C9" w14:paraId="7F342D1E" w14:textId="77777777" w:rsidTr="000A5481">
        <w:trPr>
          <w:trHeight w:val="355"/>
        </w:trPr>
        <w:tc>
          <w:tcPr>
            <w:tcW w:w="1919" w:type="dxa"/>
          </w:tcPr>
          <w:p w14:paraId="40F1DF8D" w14:textId="77777777" w:rsidR="00BD2F93" w:rsidRPr="009C62C9" w:rsidRDefault="00BD2F93" w:rsidP="00D50EED">
            <w:pPr>
              <w:pStyle w:val="Default"/>
              <w:rPr>
                <w:rFonts w:asciiTheme="minorHAnsi" w:hAnsiTheme="minorHAnsi"/>
                <w:sz w:val="22"/>
                <w:szCs w:val="22"/>
              </w:rPr>
            </w:pPr>
          </w:p>
        </w:tc>
        <w:tc>
          <w:tcPr>
            <w:tcW w:w="741" w:type="dxa"/>
          </w:tcPr>
          <w:p w14:paraId="1A19FC44" w14:textId="77777777" w:rsidR="00BD2F93" w:rsidRPr="009C62C9" w:rsidRDefault="00BD2F93" w:rsidP="00D50EED">
            <w:pPr>
              <w:pStyle w:val="Default"/>
              <w:rPr>
                <w:rFonts w:asciiTheme="minorHAnsi" w:hAnsiTheme="minorHAnsi"/>
                <w:sz w:val="22"/>
                <w:szCs w:val="22"/>
              </w:rPr>
            </w:pPr>
          </w:p>
        </w:tc>
        <w:tc>
          <w:tcPr>
            <w:tcW w:w="2344" w:type="dxa"/>
          </w:tcPr>
          <w:p w14:paraId="71EF8096" w14:textId="77777777" w:rsidR="00BD2F93" w:rsidRPr="009C62C9" w:rsidRDefault="00BD2F93" w:rsidP="00D50EED">
            <w:pPr>
              <w:pStyle w:val="Default"/>
              <w:rPr>
                <w:rFonts w:asciiTheme="minorHAnsi" w:hAnsiTheme="minorHAnsi"/>
                <w:sz w:val="22"/>
                <w:szCs w:val="22"/>
              </w:rPr>
            </w:pPr>
          </w:p>
        </w:tc>
        <w:tc>
          <w:tcPr>
            <w:tcW w:w="4743" w:type="dxa"/>
          </w:tcPr>
          <w:p w14:paraId="0C24EA10" w14:textId="77777777" w:rsidR="00BD2F93" w:rsidRPr="009C62C9" w:rsidRDefault="00BD2F93" w:rsidP="00D50EED">
            <w:pPr>
              <w:pStyle w:val="Default"/>
              <w:rPr>
                <w:rFonts w:asciiTheme="minorHAnsi" w:hAnsiTheme="minorHAnsi"/>
                <w:sz w:val="22"/>
                <w:szCs w:val="22"/>
              </w:rPr>
            </w:pPr>
          </w:p>
        </w:tc>
      </w:tr>
    </w:tbl>
    <w:p w14:paraId="756D76F7" w14:textId="1821120C" w:rsidR="00BD2F93" w:rsidRDefault="00BD2F93" w:rsidP="00603F3B"/>
    <w:p w14:paraId="6CE43C91" w14:textId="77777777" w:rsidR="00BD2F93" w:rsidRDefault="00BD2F93"/>
    <w:p w14:paraId="0C73D96C" w14:textId="77777777" w:rsidR="00BD2F93" w:rsidRDefault="00BD2F93">
      <w:r>
        <w:t>Eksempel på utfyllelse av tabell med konkrete begrunnelser for sladdede opplysninger:</w:t>
      </w:r>
    </w:p>
    <w:tbl>
      <w:tblPr>
        <w:tblStyle w:val="Tabellrutenett1"/>
        <w:tblW w:w="9288" w:type="dxa"/>
        <w:tblLayout w:type="fixed"/>
        <w:tblLook w:val="04A0" w:firstRow="1" w:lastRow="0" w:firstColumn="1" w:lastColumn="0" w:noHBand="0" w:noVBand="1"/>
      </w:tblPr>
      <w:tblGrid>
        <w:gridCol w:w="1384"/>
        <w:gridCol w:w="851"/>
        <w:gridCol w:w="1559"/>
        <w:gridCol w:w="3827"/>
        <w:gridCol w:w="1667"/>
      </w:tblGrid>
      <w:tr w:rsidR="00BD2F93" w:rsidRPr="00305ACC" w14:paraId="0A400824" w14:textId="77777777" w:rsidTr="00305ACC">
        <w:tc>
          <w:tcPr>
            <w:tcW w:w="1384" w:type="dxa"/>
            <w:tcBorders>
              <w:top w:val="single" w:sz="4" w:space="0" w:color="auto"/>
              <w:left w:val="single" w:sz="4" w:space="0" w:color="auto"/>
              <w:bottom w:val="single" w:sz="4" w:space="0" w:color="auto"/>
              <w:right w:val="single" w:sz="4" w:space="0" w:color="auto"/>
            </w:tcBorders>
            <w:shd w:val="clear" w:color="auto" w:fill="FFFF00"/>
            <w:hideMark/>
          </w:tcPr>
          <w:p w14:paraId="6FF8CF8F" w14:textId="77777777" w:rsidR="00BD2F93" w:rsidRPr="00305ACC" w:rsidRDefault="00BD2F93" w:rsidP="00BD2F93">
            <w:pPr>
              <w:rPr>
                <w:b/>
                <w:sz w:val="20"/>
              </w:rPr>
            </w:pPr>
            <w:r w:rsidRPr="00305ACC">
              <w:rPr>
                <w:b/>
                <w:sz w:val="20"/>
              </w:rPr>
              <w:t>Vedlegg / del av tilbud</w:t>
            </w:r>
          </w:p>
        </w:tc>
        <w:tc>
          <w:tcPr>
            <w:tcW w:w="851" w:type="dxa"/>
            <w:tcBorders>
              <w:top w:val="single" w:sz="4" w:space="0" w:color="auto"/>
              <w:left w:val="single" w:sz="4" w:space="0" w:color="auto"/>
              <w:bottom w:val="single" w:sz="4" w:space="0" w:color="auto"/>
              <w:right w:val="single" w:sz="4" w:space="0" w:color="auto"/>
            </w:tcBorders>
            <w:shd w:val="clear" w:color="auto" w:fill="FFFF00"/>
            <w:hideMark/>
          </w:tcPr>
          <w:p w14:paraId="373F897A" w14:textId="77777777" w:rsidR="00BD2F93" w:rsidRPr="00305ACC" w:rsidRDefault="00BD2F93" w:rsidP="00BD2F93">
            <w:pPr>
              <w:rPr>
                <w:b/>
                <w:sz w:val="20"/>
              </w:rPr>
            </w:pPr>
            <w:r w:rsidRPr="00305ACC">
              <w:rPr>
                <w:b/>
                <w:sz w:val="20"/>
              </w:rPr>
              <w:t>Punkt</w:t>
            </w:r>
          </w:p>
        </w:tc>
        <w:tc>
          <w:tcPr>
            <w:tcW w:w="1559" w:type="dxa"/>
            <w:tcBorders>
              <w:top w:val="single" w:sz="4" w:space="0" w:color="auto"/>
              <w:left w:val="single" w:sz="4" w:space="0" w:color="auto"/>
              <w:bottom w:val="single" w:sz="4" w:space="0" w:color="auto"/>
              <w:right w:val="single" w:sz="4" w:space="0" w:color="auto"/>
            </w:tcBorders>
            <w:shd w:val="clear" w:color="auto" w:fill="FFFF00"/>
            <w:hideMark/>
          </w:tcPr>
          <w:p w14:paraId="1B89CFC9" w14:textId="77777777" w:rsidR="00BD2F93" w:rsidRPr="00305ACC" w:rsidRDefault="00BD2F93" w:rsidP="00BD2F93">
            <w:pPr>
              <w:rPr>
                <w:b/>
                <w:sz w:val="20"/>
              </w:rPr>
            </w:pPr>
            <w:r w:rsidRPr="00305ACC">
              <w:rPr>
                <w:b/>
                <w:sz w:val="20"/>
              </w:rPr>
              <w:t>Plasserings-sted</w:t>
            </w:r>
          </w:p>
        </w:tc>
        <w:tc>
          <w:tcPr>
            <w:tcW w:w="3827" w:type="dxa"/>
            <w:tcBorders>
              <w:top w:val="single" w:sz="4" w:space="0" w:color="auto"/>
              <w:left w:val="single" w:sz="4" w:space="0" w:color="auto"/>
              <w:bottom w:val="single" w:sz="4" w:space="0" w:color="auto"/>
              <w:right w:val="single" w:sz="4" w:space="0" w:color="auto"/>
            </w:tcBorders>
            <w:shd w:val="clear" w:color="auto" w:fill="FFFF00"/>
            <w:hideMark/>
          </w:tcPr>
          <w:p w14:paraId="10F509EB" w14:textId="77777777" w:rsidR="00BD2F93" w:rsidRPr="00305ACC" w:rsidRDefault="00BD2F93" w:rsidP="00BD2F93">
            <w:pPr>
              <w:rPr>
                <w:b/>
                <w:sz w:val="20"/>
              </w:rPr>
            </w:pPr>
            <w:r w:rsidRPr="00305ACC">
              <w:rPr>
                <w:b/>
                <w:sz w:val="20"/>
              </w:rPr>
              <w:t>Tilbyders begrunnelse for hvorfor opplysningene må anses som konkurransesensitive og må unntas offentlighet.</w:t>
            </w:r>
          </w:p>
        </w:tc>
        <w:tc>
          <w:tcPr>
            <w:tcW w:w="1667" w:type="dxa"/>
            <w:tcBorders>
              <w:top w:val="single" w:sz="4" w:space="0" w:color="auto"/>
              <w:left w:val="single" w:sz="4" w:space="0" w:color="auto"/>
              <w:bottom w:val="single" w:sz="4" w:space="0" w:color="auto"/>
              <w:right w:val="single" w:sz="4" w:space="0" w:color="auto"/>
            </w:tcBorders>
            <w:shd w:val="clear" w:color="auto" w:fill="FFFF00"/>
            <w:hideMark/>
          </w:tcPr>
          <w:p w14:paraId="238A432E" w14:textId="77777777" w:rsidR="00BD2F93" w:rsidRPr="00305ACC" w:rsidRDefault="00BD2F93" w:rsidP="00BD2F93">
            <w:pPr>
              <w:rPr>
                <w:b/>
                <w:sz w:val="20"/>
              </w:rPr>
            </w:pPr>
            <w:r w:rsidRPr="00305ACC">
              <w:rPr>
                <w:b/>
                <w:sz w:val="20"/>
              </w:rPr>
              <w:t>Lovhjemmel</w:t>
            </w:r>
          </w:p>
        </w:tc>
      </w:tr>
      <w:tr w:rsidR="00BD2F93" w:rsidRPr="00305ACC" w14:paraId="6DB9DC54" w14:textId="77777777" w:rsidTr="00305ACC">
        <w:tc>
          <w:tcPr>
            <w:tcW w:w="1384" w:type="dxa"/>
            <w:tcBorders>
              <w:top w:val="single" w:sz="4" w:space="0" w:color="auto"/>
              <w:left w:val="single" w:sz="4" w:space="0" w:color="auto"/>
              <w:bottom w:val="single" w:sz="4" w:space="0" w:color="auto"/>
              <w:right w:val="single" w:sz="4" w:space="0" w:color="auto"/>
            </w:tcBorders>
            <w:hideMark/>
          </w:tcPr>
          <w:p w14:paraId="55850B0B" w14:textId="77777777" w:rsidR="00BD2F93" w:rsidRPr="00305ACC" w:rsidRDefault="00BD2F93" w:rsidP="00BD2F93">
            <w:pPr>
              <w:rPr>
                <w:sz w:val="20"/>
              </w:rPr>
            </w:pPr>
            <w:r w:rsidRPr="00305ACC">
              <w:rPr>
                <w:sz w:val="20"/>
              </w:rPr>
              <w:t>Kapittel 2 kvalifikasjonskrav</w:t>
            </w:r>
          </w:p>
        </w:tc>
        <w:tc>
          <w:tcPr>
            <w:tcW w:w="851" w:type="dxa"/>
            <w:tcBorders>
              <w:top w:val="single" w:sz="4" w:space="0" w:color="auto"/>
              <w:left w:val="single" w:sz="4" w:space="0" w:color="auto"/>
              <w:bottom w:val="single" w:sz="4" w:space="0" w:color="auto"/>
              <w:right w:val="single" w:sz="4" w:space="0" w:color="auto"/>
            </w:tcBorders>
            <w:hideMark/>
          </w:tcPr>
          <w:p w14:paraId="6C058726" w14:textId="77777777" w:rsidR="00BD2F93" w:rsidRPr="00305ACC" w:rsidRDefault="00BD2F93" w:rsidP="00BD2F93">
            <w:pPr>
              <w:rPr>
                <w:sz w:val="20"/>
              </w:rPr>
            </w:pPr>
            <w:r w:rsidRPr="00305ACC">
              <w:rPr>
                <w:sz w:val="20"/>
              </w:rPr>
              <w:t>2.3</w:t>
            </w:r>
          </w:p>
        </w:tc>
        <w:tc>
          <w:tcPr>
            <w:tcW w:w="1559" w:type="dxa"/>
            <w:tcBorders>
              <w:top w:val="single" w:sz="4" w:space="0" w:color="auto"/>
              <w:left w:val="single" w:sz="4" w:space="0" w:color="auto"/>
              <w:bottom w:val="single" w:sz="4" w:space="0" w:color="auto"/>
              <w:right w:val="single" w:sz="4" w:space="0" w:color="auto"/>
            </w:tcBorders>
            <w:hideMark/>
          </w:tcPr>
          <w:p w14:paraId="2B1EBB0F" w14:textId="77777777" w:rsidR="00BD2F93" w:rsidRPr="00305ACC" w:rsidRDefault="00BD2F93" w:rsidP="00BD2F93">
            <w:pPr>
              <w:rPr>
                <w:sz w:val="20"/>
              </w:rPr>
            </w:pPr>
            <w:r w:rsidRPr="00305ACC">
              <w:rPr>
                <w:sz w:val="20"/>
              </w:rPr>
              <w:t xml:space="preserve">Etter overskrift på s.34- t.o.m. </w:t>
            </w:r>
            <w:r w:rsidRPr="00305ACC">
              <w:rPr>
                <w:sz w:val="20"/>
              </w:rPr>
              <w:br/>
              <w:t xml:space="preserve"> s. 40</w:t>
            </w:r>
          </w:p>
        </w:tc>
        <w:tc>
          <w:tcPr>
            <w:tcW w:w="3827" w:type="dxa"/>
            <w:tcBorders>
              <w:top w:val="single" w:sz="4" w:space="0" w:color="auto"/>
              <w:left w:val="single" w:sz="4" w:space="0" w:color="auto"/>
              <w:bottom w:val="single" w:sz="4" w:space="0" w:color="auto"/>
              <w:right w:val="single" w:sz="4" w:space="0" w:color="auto"/>
            </w:tcBorders>
          </w:tcPr>
          <w:p w14:paraId="54FB0AD6" w14:textId="77777777" w:rsidR="00BD2F93" w:rsidRPr="00305ACC" w:rsidRDefault="00BD2F93" w:rsidP="00BD2F93">
            <w:pPr>
              <w:rPr>
                <w:sz w:val="20"/>
              </w:rPr>
            </w:pPr>
            <w:r w:rsidRPr="00305ACC">
              <w:rPr>
                <w:sz w:val="20"/>
              </w:rPr>
              <w:t>Punktet omfatter sammensetning av maskinpark. Dette er forhold som gjennomgående er gjenstand for konkurranse, ofte også benyttet som tildelingskriterium. Tilbyder har arbeidet med å få en så riktig sammensetning som mulig på det tekniske utstyret. Dette for å optimalisere vår konkurransekraft, også i relasjon til hvilket utstyr som benyttes.  Dette er følgelig informasjon om forretningsforhold som det vil være av konkurransemessig betydning å hemmeligholde.</w:t>
            </w:r>
          </w:p>
          <w:p w14:paraId="3DDB8C28" w14:textId="77777777" w:rsidR="00BD2F93" w:rsidRPr="00305ACC" w:rsidRDefault="00BD2F93" w:rsidP="00BD2F93">
            <w:pPr>
              <w:rPr>
                <w:sz w:val="20"/>
              </w:rPr>
            </w:pPr>
          </w:p>
        </w:tc>
        <w:tc>
          <w:tcPr>
            <w:tcW w:w="1667" w:type="dxa"/>
            <w:tcBorders>
              <w:top w:val="single" w:sz="4" w:space="0" w:color="auto"/>
              <w:left w:val="single" w:sz="4" w:space="0" w:color="auto"/>
              <w:bottom w:val="single" w:sz="4" w:space="0" w:color="auto"/>
              <w:right w:val="single" w:sz="4" w:space="0" w:color="auto"/>
            </w:tcBorders>
          </w:tcPr>
          <w:p w14:paraId="2A9CC142" w14:textId="77777777" w:rsidR="00BD2F93" w:rsidRPr="00305ACC" w:rsidRDefault="00BD2F93" w:rsidP="00BD2F93">
            <w:pPr>
              <w:rPr>
                <w:sz w:val="20"/>
              </w:rPr>
            </w:pPr>
            <w:proofErr w:type="spellStart"/>
            <w:r w:rsidRPr="00305ACC">
              <w:rPr>
                <w:sz w:val="20"/>
              </w:rPr>
              <w:t>Off.lova</w:t>
            </w:r>
            <w:proofErr w:type="spellEnd"/>
            <w:r w:rsidRPr="00305ACC">
              <w:rPr>
                <w:sz w:val="20"/>
              </w:rPr>
              <w:t xml:space="preserve"> 13 </w:t>
            </w:r>
            <w:proofErr w:type="spellStart"/>
            <w:r w:rsidRPr="00305ACC">
              <w:rPr>
                <w:sz w:val="20"/>
              </w:rPr>
              <w:t>jf</w:t>
            </w:r>
            <w:proofErr w:type="spellEnd"/>
            <w:r w:rsidRPr="00305ACC">
              <w:rPr>
                <w:sz w:val="20"/>
              </w:rPr>
              <w:t xml:space="preserve"> </w:t>
            </w:r>
            <w:proofErr w:type="spellStart"/>
            <w:r w:rsidRPr="00305ACC">
              <w:rPr>
                <w:sz w:val="20"/>
              </w:rPr>
              <w:t>fvl</w:t>
            </w:r>
            <w:proofErr w:type="spellEnd"/>
            <w:r w:rsidRPr="00305ACC">
              <w:rPr>
                <w:sz w:val="20"/>
              </w:rPr>
              <w:t xml:space="preserve"> § 13 første ledd </w:t>
            </w:r>
            <w:proofErr w:type="spellStart"/>
            <w:proofErr w:type="gramStart"/>
            <w:r w:rsidRPr="00305ACC">
              <w:rPr>
                <w:sz w:val="20"/>
              </w:rPr>
              <w:t>pkt</w:t>
            </w:r>
            <w:proofErr w:type="spellEnd"/>
            <w:r w:rsidRPr="00305ACC">
              <w:rPr>
                <w:sz w:val="20"/>
              </w:rPr>
              <w:t xml:space="preserve">  2</w:t>
            </w:r>
            <w:proofErr w:type="gramEnd"/>
            <w:r w:rsidRPr="00305ACC">
              <w:rPr>
                <w:sz w:val="20"/>
              </w:rPr>
              <w:t>).</w:t>
            </w:r>
          </w:p>
          <w:p w14:paraId="5AAEDBF0" w14:textId="77777777" w:rsidR="00BD2F93" w:rsidRPr="00305ACC" w:rsidRDefault="00BD2F93" w:rsidP="00BD2F93">
            <w:pPr>
              <w:rPr>
                <w:sz w:val="20"/>
              </w:rPr>
            </w:pPr>
          </w:p>
          <w:p w14:paraId="013873A9" w14:textId="77777777" w:rsidR="00BD2F93" w:rsidRPr="00305ACC" w:rsidRDefault="00BD2F93" w:rsidP="00BD2F93">
            <w:pPr>
              <w:rPr>
                <w:sz w:val="20"/>
              </w:rPr>
            </w:pPr>
            <w:r w:rsidRPr="00305ACC">
              <w:rPr>
                <w:sz w:val="20"/>
              </w:rPr>
              <w:t xml:space="preserve">Hele teksten er sladdet med hjemmel i </w:t>
            </w:r>
            <w:proofErr w:type="spellStart"/>
            <w:proofErr w:type="gramStart"/>
            <w:r w:rsidRPr="00305ACC">
              <w:rPr>
                <w:sz w:val="20"/>
              </w:rPr>
              <w:t>off.lova</w:t>
            </w:r>
            <w:proofErr w:type="spellEnd"/>
            <w:proofErr w:type="gramEnd"/>
            <w:r w:rsidRPr="00305ACC">
              <w:rPr>
                <w:sz w:val="20"/>
              </w:rPr>
              <w:t xml:space="preserve"> § 12 bokstav c. </w:t>
            </w:r>
          </w:p>
        </w:tc>
      </w:tr>
      <w:tr w:rsidR="00BD2F93" w:rsidRPr="00305ACC" w14:paraId="36935C28" w14:textId="77777777" w:rsidTr="00305ACC">
        <w:tc>
          <w:tcPr>
            <w:tcW w:w="1384" w:type="dxa"/>
            <w:tcBorders>
              <w:top w:val="single" w:sz="4" w:space="0" w:color="auto"/>
              <w:left w:val="single" w:sz="4" w:space="0" w:color="auto"/>
              <w:bottom w:val="single" w:sz="4" w:space="0" w:color="auto"/>
              <w:right w:val="single" w:sz="4" w:space="0" w:color="auto"/>
            </w:tcBorders>
            <w:hideMark/>
          </w:tcPr>
          <w:p w14:paraId="0E467CBA" w14:textId="77777777" w:rsidR="00BD2F93" w:rsidRPr="00305ACC" w:rsidRDefault="00BD2F93" w:rsidP="00BD2F93">
            <w:pPr>
              <w:rPr>
                <w:sz w:val="20"/>
              </w:rPr>
            </w:pPr>
            <w:r w:rsidRPr="00305ACC">
              <w:rPr>
                <w:sz w:val="20"/>
              </w:rPr>
              <w:t>Kapittel 2 kvalifikasjonskrav</w:t>
            </w:r>
          </w:p>
        </w:tc>
        <w:tc>
          <w:tcPr>
            <w:tcW w:w="851" w:type="dxa"/>
            <w:tcBorders>
              <w:top w:val="single" w:sz="4" w:space="0" w:color="auto"/>
              <w:left w:val="single" w:sz="4" w:space="0" w:color="auto"/>
              <w:bottom w:val="single" w:sz="4" w:space="0" w:color="auto"/>
              <w:right w:val="single" w:sz="4" w:space="0" w:color="auto"/>
            </w:tcBorders>
            <w:hideMark/>
          </w:tcPr>
          <w:p w14:paraId="412BB453" w14:textId="77777777" w:rsidR="00BD2F93" w:rsidRPr="00305ACC" w:rsidRDefault="00BD2F93" w:rsidP="00BD2F93">
            <w:pPr>
              <w:rPr>
                <w:sz w:val="20"/>
              </w:rPr>
            </w:pPr>
            <w:r w:rsidRPr="00305ACC">
              <w:rPr>
                <w:sz w:val="20"/>
              </w:rPr>
              <w:t>2.4</w:t>
            </w:r>
          </w:p>
        </w:tc>
        <w:tc>
          <w:tcPr>
            <w:tcW w:w="1559" w:type="dxa"/>
            <w:tcBorders>
              <w:top w:val="single" w:sz="4" w:space="0" w:color="auto"/>
              <w:left w:val="single" w:sz="4" w:space="0" w:color="auto"/>
              <w:bottom w:val="single" w:sz="4" w:space="0" w:color="auto"/>
              <w:right w:val="single" w:sz="4" w:space="0" w:color="auto"/>
            </w:tcBorders>
            <w:hideMark/>
          </w:tcPr>
          <w:p w14:paraId="44B1BC4D" w14:textId="77777777" w:rsidR="00BD2F93" w:rsidRPr="00305ACC" w:rsidRDefault="00BD2F93" w:rsidP="00BD2F93">
            <w:pPr>
              <w:rPr>
                <w:sz w:val="20"/>
              </w:rPr>
            </w:pPr>
            <w:r w:rsidRPr="00305ACC">
              <w:rPr>
                <w:sz w:val="20"/>
              </w:rPr>
              <w:t>Etter overskrift på s.54- t.o.m. s. 54</w:t>
            </w:r>
          </w:p>
        </w:tc>
        <w:tc>
          <w:tcPr>
            <w:tcW w:w="3827" w:type="dxa"/>
            <w:tcBorders>
              <w:top w:val="single" w:sz="4" w:space="0" w:color="auto"/>
              <w:left w:val="single" w:sz="4" w:space="0" w:color="auto"/>
              <w:bottom w:val="single" w:sz="4" w:space="0" w:color="auto"/>
              <w:right w:val="single" w:sz="4" w:space="0" w:color="auto"/>
            </w:tcBorders>
            <w:hideMark/>
          </w:tcPr>
          <w:p w14:paraId="7191C23E" w14:textId="77777777" w:rsidR="00BD2F93" w:rsidRPr="00305ACC" w:rsidRDefault="00BD2F93" w:rsidP="00BD2F93">
            <w:pPr>
              <w:rPr>
                <w:sz w:val="20"/>
              </w:rPr>
            </w:pPr>
            <w:r w:rsidRPr="00305ACC">
              <w:rPr>
                <w:sz w:val="20"/>
              </w:rPr>
              <w:t>Punktet omfatter oppbygning og organisering av vårt kvalitetsarbeid. Dette er forhold som gjennomgående er gjenstand for konkurranse, og elementer av dette er ofte også benyttet som tildelingskriterium. Tilbyder har arbeidet med å optimalisere kvalitetsarbeidet og anser resultatet av dette som en del av våre forretningsforhold som er av betydning for vår konkurransekraft. Dette er følgelig informasjon om forretningsforhold som det vil være av konkurransemessig betydning å hemmeligholde.</w:t>
            </w:r>
          </w:p>
        </w:tc>
        <w:tc>
          <w:tcPr>
            <w:tcW w:w="1667" w:type="dxa"/>
            <w:tcBorders>
              <w:top w:val="single" w:sz="4" w:space="0" w:color="auto"/>
              <w:left w:val="single" w:sz="4" w:space="0" w:color="auto"/>
              <w:bottom w:val="single" w:sz="4" w:space="0" w:color="auto"/>
              <w:right w:val="single" w:sz="4" w:space="0" w:color="auto"/>
            </w:tcBorders>
          </w:tcPr>
          <w:p w14:paraId="7FD5B06B" w14:textId="77777777" w:rsidR="00BD2F93" w:rsidRPr="00305ACC" w:rsidRDefault="00BD2F93" w:rsidP="00BD2F93">
            <w:pPr>
              <w:rPr>
                <w:sz w:val="20"/>
              </w:rPr>
            </w:pPr>
            <w:proofErr w:type="spellStart"/>
            <w:r w:rsidRPr="00305ACC">
              <w:rPr>
                <w:sz w:val="20"/>
              </w:rPr>
              <w:t>Off.lova</w:t>
            </w:r>
            <w:proofErr w:type="spellEnd"/>
            <w:r w:rsidRPr="00305ACC">
              <w:rPr>
                <w:sz w:val="20"/>
              </w:rPr>
              <w:t xml:space="preserve"> 13 </w:t>
            </w:r>
            <w:proofErr w:type="spellStart"/>
            <w:r w:rsidRPr="00305ACC">
              <w:rPr>
                <w:sz w:val="20"/>
              </w:rPr>
              <w:t>jf</w:t>
            </w:r>
            <w:proofErr w:type="spellEnd"/>
            <w:r w:rsidRPr="00305ACC">
              <w:rPr>
                <w:sz w:val="20"/>
              </w:rPr>
              <w:t xml:space="preserve"> </w:t>
            </w:r>
            <w:proofErr w:type="spellStart"/>
            <w:r w:rsidRPr="00305ACC">
              <w:rPr>
                <w:sz w:val="20"/>
              </w:rPr>
              <w:t>fvl</w:t>
            </w:r>
            <w:proofErr w:type="spellEnd"/>
            <w:r w:rsidRPr="00305ACC">
              <w:rPr>
                <w:sz w:val="20"/>
              </w:rPr>
              <w:t xml:space="preserve"> § 13 første ledd </w:t>
            </w:r>
            <w:proofErr w:type="spellStart"/>
            <w:proofErr w:type="gramStart"/>
            <w:r w:rsidRPr="00305ACC">
              <w:rPr>
                <w:sz w:val="20"/>
              </w:rPr>
              <w:t>pkt</w:t>
            </w:r>
            <w:proofErr w:type="spellEnd"/>
            <w:r w:rsidRPr="00305ACC">
              <w:rPr>
                <w:sz w:val="20"/>
              </w:rPr>
              <w:t xml:space="preserve">  2</w:t>
            </w:r>
            <w:proofErr w:type="gramEnd"/>
            <w:r w:rsidRPr="00305ACC">
              <w:rPr>
                <w:sz w:val="20"/>
              </w:rPr>
              <w:t>).</w:t>
            </w:r>
          </w:p>
          <w:p w14:paraId="43DDE84A" w14:textId="77777777" w:rsidR="00BD2F93" w:rsidRPr="00305ACC" w:rsidRDefault="00BD2F93" w:rsidP="00BD2F93">
            <w:pPr>
              <w:rPr>
                <w:sz w:val="20"/>
              </w:rPr>
            </w:pPr>
          </w:p>
          <w:p w14:paraId="33253C9F" w14:textId="77777777" w:rsidR="00BD2F93" w:rsidRPr="00305ACC" w:rsidRDefault="00BD2F93" w:rsidP="00BD2F93">
            <w:pPr>
              <w:rPr>
                <w:sz w:val="20"/>
              </w:rPr>
            </w:pPr>
            <w:r w:rsidRPr="00305ACC">
              <w:rPr>
                <w:sz w:val="20"/>
              </w:rPr>
              <w:t xml:space="preserve">Hele teksten er sladdet med hjemmel i </w:t>
            </w:r>
            <w:proofErr w:type="spellStart"/>
            <w:proofErr w:type="gramStart"/>
            <w:r w:rsidRPr="00305ACC">
              <w:rPr>
                <w:sz w:val="20"/>
              </w:rPr>
              <w:t>off.lova</w:t>
            </w:r>
            <w:proofErr w:type="spellEnd"/>
            <w:proofErr w:type="gramEnd"/>
            <w:r w:rsidRPr="00305ACC">
              <w:rPr>
                <w:sz w:val="20"/>
              </w:rPr>
              <w:t xml:space="preserve"> § 12 bokstav c.</w:t>
            </w:r>
          </w:p>
        </w:tc>
      </w:tr>
      <w:tr w:rsidR="00BD2F93" w:rsidRPr="00305ACC" w14:paraId="6165AEF5" w14:textId="77777777" w:rsidTr="00305ACC">
        <w:tc>
          <w:tcPr>
            <w:tcW w:w="1384" w:type="dxa"/>
            <w:tcBorders>
              <w:top w:val="single" w:sz="4" w:space="0" w:color="auto"/>
              <w:left w:val="single" w:sz="4" w:space="0" w:color="auto"/>
              <w:bottom w:val="single" w:sz="4" w:space="0" w:color="auto"/>
              <w:right w:val="single" w:sz="4" w:space="0" w:color="auto"/>
            </w:tcBorders>
            <w:hideMark/>
          </w:tcPr>
          <w:p w14:paraId="4E432D71" w14:textId="77777777" w:rsidR="00BD2F93" w:rsidRPr="00305ACC" w:rsidRDefault="00BD2F93" w:rsidP="00BD2F93">
            <w:pPr>
              <w:rPr>
                <w:sz w:val="20"/>
              </w:rPr>
            </w:pPr>
            <w:r w:rsidRPr="00305ACC">
              <w:rPr>
                <w:sz w:val="20"/>
              </w:rPr>
              <w:t>Kapittel 2 kvalifikasjonskrav</w:t>
            </w:r>
          </w:p>
        </w:tc>
        <w:tc>
          <w:tcPr>
            <w:tcW w:w="851" w:type="dxa"/>
            <w:tcBorders>
              <w:top w:val="single" w:sz="4" w:space="0" w:color="auto"/>
              <w:left w:val="single" w:sz="4" w:space="0" w:color="auto"/>
              <w:bottom w:val="single" w:sz="4" w:space="0" w:color="auto"/>
              <w:right w:val="single" w:sz="4" w:space="0" w:color="auto"/>
            </w:tcBorders>
            <w:hideMark/>
          </w:tcPr>
          <w:p w14:paraId="023329C3" w14:textId="77777777" w:rsidR="00BD2F93" w:rsidRPr="00305ACC" w:rsidRDefault="00BD2F93" w:rsidP="00BD2F93">
            <w:pPr>
              <w:rPr>
                <w:sz w:val="20"/>
              </w:rPr>
            </w:pPr>
            <w:r w:rsidRPr="00305ACC">
              <w:rPr>
                <w:sz w:val="20"/>
              </w:rPr>
              <w:t>2.4</w:t>
            </w:r>
          </w:p>
        </w:tc>
        <w:tc>
          <w:tcPr>
            <w:tcW w:w="1559" w:type="dxa"/>
            <w:tcBorders>
              <w:top w:val="single" w:sz="4" w:space="0" w:color="auto"/>
              <w:left w:val="single" w:sz="4" w:space="0" w:color="auto"/>
              <w:bottom w:val="single" w:sz="4" w:space="0" w:color="auto"/>
              <w:right w:val="single" w:sz="4" w:space="0" w:color="auto"/>
            </w:tcBorders>
            <w:hideMark/>
          </w:tcPr>
          <w:p w14:paraId="7FD5CBEB" w14:textId="77777777" w:rsidR="00BD2F93" w:rsidRPr="00305ACC" w:rsidRDefault="00BD2F93" w:rsidP="00BD2F93">
            <w:pPr>
              <w:rPr>
                <w:sz w:val="20"/>
              </w:rPr>
            </w:pPr>
            <w:r w:rsidRPr="00305ACC">
              <w:rPr>
                <w:sz w:val="20"/>
              </w:rPr>
              <w:t>Etter overskrift på s.56- t.o.m. s. 59</w:t>
            </w:r>
          </w:p>
        </w:tc>
        <w:tc>
          <w:tcPr>
            <w:tcW w:w="3827" w:type="dxa"/>
            <w:tcBorders>
              <w:top w:val="single" w:sz="4" w:space="0" w:color="auto"/>
              <w:left w:val="single" w:sz="4" w:space="0" w:color="auto"/>
              <w:bottom w:val="single" w:sz="4" w:space="0" w:color="auto"/>
              <w:right w:val="single" w:sz="4" w:space="0" w:color="auto"/>
            </w:tcBorders>
          </w:tcPr>
          <w:p w14:paraId="47FCEB69" w14:textId="77777777" w:rsidR="00BD2F93" w:rsidRPr="00305ACC" w:rsidRDefault="00BD2F93" w:rsidP="00BD2F93">
            <w:pPr>
              <w:rPr>
                <w:sz w:val="20"/>
              </w:rPr>
            </w:pPr>
            <w:r w:rsidRPr="00305ACC">
              <w:rPr>
                <w:sz w:val="20"/>
              </w:rPr>
              <w:t xml:space="preserve">Punktet omfatter oppbygning og organisering av vårt kvalitetsarbeid. Dette er forhold som gjennomgående er gjenstand for konkurranse, og elementer av dette er ofte også benyttet som tildelingskriterium. </w:t>
            </w:r>
          </w:p>
          <w:p w14:paraId="4CE00145" w14:textId="77777777" w:rsidR="00BD2F93" w:rsidRPr="00305ACC" w:rsidRDefault="00BD2F93" w:rsidP="00BD2F93">
            <w:pPr>
              <w:rPr>
                <w:sz w:val="20"/>
              </w:rPr>
            </w:pPr>
          </w:p>
          <w:p w14:paraId="489DA402" w14:textId="77777777" w:rsidR="00BD2F93" w:rsidRPr="00305ACC" w:rsidRDefault="00BD2F93" w:rsidP="00BD2F93">
            <w:pPr>
              <w:rPr>
                <w:sz w:val="20"/>
              </w:rPr>
            </w:pPr>
            <w:r w:rsidRPr="00305ACC">
              <w:rPr>
                <w:sz w:val="20"/>
              </w:rPr>
              <w:t xml:space="preserve">Tilbyder har arbeidet med </w:t>
            </w:r>
            <w:proofErr w:type="gramStart"/>
            <w:r w:rsidRPr="00305ACC">
              <w:rPr>
                <w:sz w:val="20"/>
              </w:rPr>
              <w:t>optimalisere</w:t>
            </w:r>
            <w:proofErr w:type="gramEnd"/>
            <w:r w:rsidRPr="00305ACC">
              <w:rPr>
                <w:sz w:val="20"/>
              </w:rPr>
              <w:t xml:space="preserve"> kvalitetsarbeidet anser dette som en del av våre forretningsforhold som er av betydning for vår konkurransekraft. Dette er følgelig informasjon om forretningsforhold som det vil være av konkurransemessig betydning å hemmeligholde.</w:t>
            </w:r>
          </w:p>
        </w:tc>
        <w:tc>
          <w:tcPr>
            <w:tcW w:w="1667" w:type="dxa"/>
            <w:tcBorders>
              <w:top w:val="single" w:sz="4" w:space="0" w:color="auto"/>
              <w:left w:val="single" w:sz="4" w:space="0" w:color="auto"/>
              <w:bottom w:val="single" w:sz="4" w:space="0" w:color="auto"/>
              <w:right w:val="single" w:sz="4" w:space="0" w:color="auto"/>
            </w:tcBorders>
          </w:tcPr>
          <w:p w14:paraId="62A9C8CD" w14:textId="77777777" w:rsidR="00BD2F93" w:rsidRPr="00305ACC" w:rsidRDefault="00BD2F93" w:rsidP="00BD2F93">
            <w:pPr>
              <w:rPr>
                <w:sz w:val="20"/>
              </w:rPr>
            </w:pPr>
            <w:proofErr w:type="spellStart"/>
            <w:r w:rsidRPr="00305ACC">
              <w:rPr>
                <w:sz w:val="20"/>
              </w:rPr>
              <w:t>Off.lova</w:t>
            </w:r>
            <w:proofErr w:type="spellEnd"/>
            <w:r w:rsidRPr="00305ACC">
              <w:rPr>
                <w:sz w:val="20"/>
              </w:rPr>
              <w:t xml:space="preserve"> 13 </w:t>
            </w:r>
            <w:proofErr w:type="spellStart"/>
            <w:r w:rsidRPr="00305ACC">
              <w:rPr>
                <w:sz w:val="20"/>
              </w:rPr>
              <w:t>jf</w:t>
            </w:r>
            <w:proofErr w:type="spellEnd"/>
            <w:r w:rsidRPr="00305ACC">
              <w:rPr>
                <w:sz w:val="20"/>
              </w:rPr>
              <w:t xml:space="preserve"> </w:t>
            </w:r>
            <w:proofErr w:type="spellStart"/>
            <w:r w:rsidRPr="00305ACC">
              <w:rPr>
                <w:sz w:val="20"/>
              </w:rPr>
              <w:t>fvl</w:t>
            </w:r>
            <w:proofErr w:type="spellEnd"/>
            <w:r w:rsidRPr="00305ACC">
              <w:rPr>
                <w:sz w:val="20"/>
              </w:rPr>
              <w:t xml:space="preserve"> § 13 første ledd </w:t>
            </w:r>
            <w:proofErr w:type="spellStart"/>
            <w:proofErr w:type="gramStart"/>
            <w:r w:rsidRPr="00305ACC">
              <w:rPr>
                <w:sz w:val="20"/>
              </w:rPr>
              <w:t>pkt</w:t>
            </w:r>
            <w:proofErr w:type="spellEnd"/>
            <w:r w:rsidRPr="00305ACC">
              <w:rPr>
                <w:sz w:val="20"/>
              </w:rPr>
              <w:t xml:space="preserve">  2</w:t>
            </w:r>
            <w:proofErr w:type="gramEnd"/>
            <w:r w:rsidRPr="00305ACC">
              <w:rPr>
                <w:sz w:val="20"/>
              </w:rPr>
              <w:t>).</w:t>
            </w:r>
          </w:p>
          <w:p w14:paraId="268945C7" w14:textId="77777777" w:rsidR="00BD2F93" w:rsidRPr="00305ACC" w:rsidRDefault="00BD2F93" w:rsidP="00BD2F93">
            <w:pPr>
              <w:rPr>
                <w:sz w:val="20"/>
              </w:rPr>
            </w:pPr>
          </w:p>
          <w:p w14:paraId="7B46ACF2" w14:textId="77777777" w:rsidR="00BD2F93" w:rsidRPr="00305ACC" w:rsidRDefault="00BD2F93" w:rsidP="00BD2F93">
            <w:pPr>
              <w:rPr>
                <w:sz w:val="20"/>
              </w:rPr>
            </w:pPr>
            <w:r w:rsidRPr="00305ACC">
              <w:rPr>
                <w:sz w:val="20"/>
              </w:rPr>
              <w:t xml:space="preserve">Hele teksten er sladdet med hjemmel i </w:t>
            </w:r>
            <w:proofErr w:type="spellStart"/>
            <w:proofErr w:type="gramStart"/>
            <w:r w:rsidRPr="00305ACC">
              <w:rPr>
                <w:sz w:val="20"/>
              </w:rPr>
              <w:t>off.lova</w:t>
            </w:r>
            <w:proofErr w:type="spellEnd"/>
            <w:proofErr w:type="gramEnd"/>
            <w:r w:rsidRPr="00305ACC">
              <w:rPr>
                <w:sz w:val="20"/>
              </w:rPr>
              <w:t xml:space="preserve"> § 12 bokstav c.</w:t>
            </w:r>
          </w:p>
        </w:tc>
      </w:tr>
      <w:tr w:rsidR="00BD2F93" w:rsidRPr="00305ACC" w14:paraId="190DEA67" w14:textId="77777777" w:rsidTr="00305ACC">
        <w:tc>
          <w:tcPr>
            <w:tcW w:w="1384" w:type="dxa"/>
            <w:tcBorders>
              <w:top w:val="single" w:sz="4" w:space="0" w:color="auto"/>
              <w:left w:val="single" w:sz="4" w:space="0" w:color="auto"/>
              <w:bottom w:val="single" w:sz="4" w:space="0" w:color="auto"/>
              <w:right w:val="single" w:sz="4" w:space="0" w:color="auto"/>
            </w:tcBorders>
            <w:hideMark/>
          </w:tcPr>
          <w:p w14:paraId="14F5CE30" w14:textId="77777777" w:rsidR="00BD2F93" w:rsidRPr="00305ACC" w:rsidRDefault="00BD2F93" w:rsidP="00BD2F93">
            <w:pPr>
              <w:rPr>
                <w:sz w:val="20"/>
              </w:rPr>
            </w:pPr>
            <w:r w:rsidRPr="00305ACC">
              <w:rPr>
                <w:sz w:val="20"/>
              </w:rPr>
              <w:t>Kapittel 2 kvalifikasjonskrav</w:t>
            </w:r>
          </w:p>
        </w:tc>
        <w:tc>
          <w:tcPr>
            <w:tcW w:w="851" w:type="dxa"/>
            <w:tcBorders>
              <w:top w:val="single" w:sz="4" w:space="0" w:color="auto"/>
              <w:left w:val="single" w:sz="4" w:space="0" w:color="auto"/>
              <w:bottom w:val="single" w:sz="4" w:space="0" w:color="auto"/>
              <w:right w:val="single" w:sz="4" w:space="0" w:color="auto"/>
            </w:tcBorders>
          </w:tcPr>
          <w:p w14:paraId="34F3D178" w14:textId="77777777" w:rsidR="00BD2F93" w:rsidRPr="00305ACC" w:rsidRDefault="00BD2F93" w:rsidP="00BD2F93">
            <w:pPr>
              <w:rPr>
                <w:sz w:val="20"/>
              </w:rPr>
            </w:pPr>
          </w:p>
        </w:tc>
        <w:tc>
          <w:tcPr>
            <w:tcW w:w="1559" w:type="dxa"/>
            <w:tcBorders>
              <w:top w:val="single" w:sz="4" w:space="0" w:color="auto"/>
              <w:left w:val="single" w:sz="4" w:space="0" w:color="auto"/>
              <w:bottom w:val="single" w:sz="4" w:space="0" w:color="auto"/>
              <w:right w:val="single" w:sz="4" w:space="0" w:color="auto"/>
            </w:tcBorders>
            <w:hideMark/>
          </w:tcPr>
          <w:p w14:paraId="08B7ADC2" w14:textId="77777777" w:rsidR="00BD2F93" w:rsidRPr="00305ACC" w:rsidRDefault="00BD2F93" w:rsidP="00BD2F93">
            <w:pPr>
              <w:rPr>
                <w:sz w:val="20"/>
              </w:rPr>
            </w:pPr>
            <w:r w:rsidRPr="00305ACC">
              <w:rPr>
                <w:sz w:val="20"/>
              </w:rPr>
              <w:t>Etter overskrift på s.62- t.o.m. s. 74</w:t>
            </w:r>
          </w:p>
        </w:tc>
        <w:tc>
          <w:tcPr>
            <w:tcW w:w="3827" w:type="dxa"/>
            <w:tcBorders>
              <w:top w:val="single" w:sz="4" w:space="0" w:color="auto"/>
              <w:left w:val="single" w:sz="4" w:space="0" w:color="auto"/>
              <w:bottom w:val="single" w:sz="4" w:space="0" w:color="auto"/>
              <w:right w:val="single" w:sz="4" w:space="0" w:color="auto"/>
            </w:tcBorders>
          </w:tcPr>
          <w:p w14:paraId="099191B2" w14:textId="77777777" w:rsidR="00BD2F93" w:rsidRPr="00305ACC" w:rsidRDefault="00BD2F93" w:rsidP="00BD2F93">
            <w:pPr>
              <w:rPr>
                <w:sz w:val="20"/>
              </w:rPr>
            </w:pPr>
            <w:r w:rsidRPr="00305ACC">
              <w:rPr>
                <w:sz w:val="20"/>
              </w:rPr>
              <w:t xml:space="preserve">Punktet omfatter interne rutiner, ulike skjema mv utarbeidet i forbindelse </w:t>
            </w:r>
            <w:proofErr w:type="gramStart"/>
            <w:r w:rsidRPr="00305ACC">
              <w:rPr>
                <w:sz w:val="20"/>
              </w:rPr>
              <w:t>med  oppbygning</w:t>
            </w:r>
            <w:proofErr w:type="gramEnd"/>
            <w:r w:rsidRPr="00305ACC">
              <w:rPr>
                <w:sz w:val="20"/>
              </w:rPr>
              <w:t xml:space="preserve"> og organisering av vårt kvalitetsarbeid. Det er lagt ned store ressurser i dette arbeidet. Dette er forhold som gjennomgående er gjenstand for konkurranse, og elementer av dette er ofte </w:t>
            </w:r>
            <w:r w:rsidRPr="00305ACC">
              <w:rPr>
                <w:sz w:val="20"/>
              </w:rPr>
              <w:lastRenderedPageBreak/>
              <w:t xml:space="preserve">også benyttet også som tildelingskriterium. </w:t>
            </w:r>
            <w:proofErr w:type="gramStart"/>
            <w:r w:rsidRPr="00305ACC">
              <w:rPr>
                <w:sz w:val="20"/>
              </w:rPr>
              <w:t>Tilbyder  anser</w:t>
            </w:r>
            <w:proofErr w:type="gramEnd"/>
            <w:r w:rsidRPr="00305ACC">
              <w:rPr>
                <w:sz w:val="20"/>
              </w:rPr>
              <w:t xml:space="preserve"> dette som en del av våre forretningsforhold som er av betydning for vår konkurransekraft. Dette er følgelig informasjon om forretningsforhold som det vil være av konkurransemessig betydning å hemmeligholde.</w:t>
            </w:r>
          </w:p>
          <w:p w14:paraId="308EFF34" w14:textId="77777777" w:rsidR="00BD2F93" w:rsidRPr="00305ACC" w:rsidRDefault="00BD2F93" w:rsidP="00BD2F93">
            <w:pPr>
              <w:rPr>
                <w:sz w:val="20"/>
              </w:rPr>
            </w:pPr>
          </w:p>
        </w:tc>
        <w:tc>
          <w:tcPr>
            <w:tcW w:w="1667" w:type="dxa"/>
            <w:tcBorders>
              <w:top w:val="single" w:sz="4" w:space="0" w:color="auto"/>
              <w:left w:val="single" w:sz="4" w:space="0" w:color="auto"/>
              <w:bottom w:val="single" w:sz="4" w:space="0" w:color="auto"/>
              <w:right w:val="single" w:sz="4" w:space="0" w:color="auto"/>
            </w:tcBorders>
          </w:tcPr>
          <w:p w14:paraId="78E147CD" w14:textId="77777777" w:rsidR="00BD2F93" w:rsidRPr="00305ACC" w:rsidRDefault="00BD2F93" w:rsidP="00BD2F93">
            <w:pPr>
              <w:rPr>
                <w:sz w:val="20"/>
              </w:rPr>
            </w:pPr>
            <w:proofErr w:type="spellStart"/>
            <w:r w:rsidRPr="00305ACC">
              <w:rPr>
                <w:sz w:val="20"/>
              </w:rPr>
              <w:lastRenderedPageBreak/>
              <w:t>Off.lova</w:t>
            </w:r>
            <w:proofErr w:type="spellEnd"/>
            <w:r w:rsidRPr="00305ACC">
              <w:rPr>
                <w:sz w:val="20"/>
              </w:rPr>
              <w:t xml:space="preserve"> 13 </w:t>
            </w:r>
            <w:proofErr w:type="spellStart"/>
            <w:r w:rsidRPr="00305ACC">
              <w:rPr>
                <w:sz w:val="20"/>
              </w:rPr>
              <w:t>jf</w:t>
            </w:r>
            <w:proofErr w:type="spellEnd"/>
            <w:r w:rsidRPr="00305ACC">
              <w:rPr>
                <w:sz w:val="20"/>
              </w:rPr>
              <w:t xml:space="preserve"> </w:t>
            </w:r>
            <w:proofErr w:type="spellStart"/>
            <w:r w:rsidRPr="00305ACC">
              <w:rPr>
                <w:sz w:val="20"/>
              </w:rPr>
              <w:t>fvl</w:t>
            </w:r>
            <w:proofErr w:type="spellEnd"/>
            <w:r w:rsidRPr="00305ACC">
              <w:rPr>
                <w:sz w:val="20"/>
              </w:rPr>
              <w:t xml:space="preserve"> § 13 første ledd </w:t>
            </w:r>
            <w:proofErr w:type="spellStart"/>
            <w:proofErr w:type="gramStart"/>
            <w:r w:rsidRPr="00305ACC">
              <w:rPr>
                <w:sz w:val="20"/>
              </w:rPr>
              <w:t>pkt</w:t>
            </w:r>
            <w:proofErr w:type="spellEnd"/>
            <w:r w:rsidRPr="00305ACC">
              <w:rPr>
                <w:sz w:val="20"/>
              </w:rPr>
              <w:t xml:space="preserve">  2</w:t>
            </w:r>
            <w:proofErr w:type="gramEnd"/>
            <w:r w:rsidRPr="00305ACC">
              <w:rPr>
                <w:sz w:val="20"/>
              </w:rPr>
              <w:t>).</w:t>
            </w:r>
          </w:p>
          <w:p w14:paraId="758C8279" w14:textId="77777777" w:rsidR="00BD2F93" w:rsidRPr="00305ACC" w:rsidRDefault="00BD2F93" w:rsidP="00BD2F93">
            <w:pPr>
              <w:rPr>
                <w:sz w:val="20"/>
              </w:rPr>
            </w:pPr>
          </w:p>
          <w:p w14:paraId="2A7657AA" w14:textId="77777777" w:rsidR="00BD2F93" w:rsidRPr="00305ACC" w:rsidRDefault="00BD2F93" w:rsidP="00BD2F93">
            <w:pPr>
              <w:rPr>
                <w:sz w:val="20"/>
              </w:rPr>
            </w:pPr>
            <w:r w:rsidRPr="00305ACC">
              <w:rPr>
                <w:sz w:val="20"/>
              </w:rPr>
              <w:t xml:space="preserve">Hele teksten er sladdet med hjemmel i </w:t>
            </w:r>
            <w:proofErr w:type="spellStart"/>
            <w:proofErr w:type="gramStart"/>
            <w:r w:rsidRPr="00305ACC">
              <w:rPr>
                <w:sz w:val="20"/>
              </w:rPr>
              <w:lastRenderedPageBreak/>
              <w:t>off.lova</w:t>
            </w:r>
            <w:proofErr w:type="spellEnd"/>
            <w:proofErr w:type="gramEnd"/>
            <w:r w:rsidRPr="00305ACC">
              <w:rPr>
                <w:sz w:val="20"/>
              </w:rPr>
              <w:t xml:space="preserve"> § 12 bokstav c.</w:t>
            </w:r>
          </w:p>
        </w:tc>
      </w:tr>
      <w:tr w:rsidR="00BD2F93" w:rsidRPr="00305ACC" w14:paraId="170085D8" w14:textId="77777777" w:rsidTr="00305ACC">
        <w:tc>
          <w:tcPr>
            <w:tcW w:w="1384" w:type="dxa"/>
            <w:tcBorders>
              <w:top w:val="single" w:sz="4" w:space="0" w:color="auto"/>
              <w:left w:val="single" w:sz="4" w:space="0" w:color="auto"/>
              <w:bottom w:val="single" w:sz="4" w:space="0" w:color="auto"/>
              <w:right w:val="single" w:sz="4" w:space="0" w:color="auto"/>
            </w:tcBorders>
            <w:hideMark/>
          </w:tcPr>
          <w:p w14:paraId="45E63C7F" w14:textId="77777777" w:rsidR="00BD2F93" w:rsidRPr="00305ACC" w:rsidRDefault="00BD2F93" w:rsidP="00BD2F93">
            <w:pPr>
              <w:rPr>
                <w:sz w:val="20"/>
              </w:rPr>
            </w:pPr>
            <w:r w:rsidRPr="00305ACC">
              <w:rPr>
                <w:sz w:val="20"/>
              </w:rPr>
              <w:lastRenderedPageBreak/>
              <w:t>Kapittel 2 kvalifikasjonskrav</w:t>
            </w:r>
          </w:p>
        </w:tc>
        <w:tc>
          <w:tcPr>
            <w:tcW w:w="851" w:type="dxa"/>
            <w:tcBorders>
              <w:top w:val="single" w:sz="4" w:space="0" w:color="auto"/>
              <w:left w:val="single" w:sz="4" w:space="0" w:color="auto"/>
              <w:bottom w:val="single" w:sz="4" w:space="0" w:color="auto"/>
              <w:right w:val="single" w:sz="4" w:space="0" w:color="auto"/>
            </w:tcBorders>
            <w:hideMark/>
          </w:tcPr>
          <w:p w14:paraId="2CABAE21" w14:textId="77777777" w:rsidR="00BD2F93" w:rsidRPr="00305ACC" w:rsidRDefault="00BD2F93" w:rsidP="00BD2F93">
            <w:pPr>
              <w:rPr>
                <w:sz w:val="20"/>
              </w:rPr>
            </w:pPr>
            <w:r w:rsidRPr="00305ACC">
              <w:rPr>
                <w:sz w:val="20"/>
              </w:rPr>
              <w:t>2.5</w:t>
            </w:r>
          </w:p>
        </w:tc>
        <w:tc>
          <w:tcPr>
            <w:tcW w:w="1559" w:type="dxa"/>
            <w:tcBorders>
              <w:top w:val="single" w:sz="4" w:space="0" w:color="auto"/>
              <w:left w:val="single" w:sz="4" w:space="0" w:color="auto"/>
              <w:bottom w:val="single" w:sz="4" w:space="0" w:color="auto"/>
              <w:right w:val="single" w:sz="4" w:space="0" w:color="auto"/>
            </w:tcBorders>
            <w:hideMark/>
          </w:tcPr>
          <w:p w14:paraId="5143E13C" w14:textId="77777777" w:rsidR="00BD2F93" w:rsidRPr="00305ACC" w:rsidRDefault="00BD2F93" w:rsidP="00BD2F93">
            <w:pPr>
              <w:rPr>
                <w:sz w:val="20"/>
              </w:rPr>
            </w:pPr>
            <w:r w:rsidRPr="00305ACC">
              <w:rPr>
                <w:sz w:val="20"/>
              </w:rPr>
              <w:t>s. 84</w:t>
            </w:r>
          </w:p>
        </w:tc>
        <w:tc>
          <w:tcPr>
            <w:tcW w:w="3827" w:type="dxa"/>
            <w:tcBorders>
              <w:top w:val="single" w:sz="4" w:space="0" w:color="auto"/>
              <w:left w:val="single" w:sz="4" w:space="0" w:color="auto"/>
              <w:bottom w:val="single" w:sz="4" w:space="0" w:color="auto"/>
              <w:right w:val="single" w:sz="4" w:space="0" w:color="auto"/>
            </w:tcBorders>
            <w:hideMark/>
          </w:tcPr>
          <w:p w14:paraId="34248BF2" w14:textId="77777777" w:rsidR="00BD2F93" w:rsidRPr="00305ACC" w:rsidRDefault="00BD2F93" w:rsidP="00BD2F93">
            <w:pPr>
              <w:rPr>
                <w:sz w:val="20"/>
              </w:rPr>
            </w:pPr>
            <w:r w:rsidRPr="00305ACC">
              <w:rPr>
                <w:sz w:val="20"/>
              </w:rPr>
              <w:t>Avtale med 3. part som bla inneholder enhetspris.</w:t>
            </w:r>
          </w:p>
        </w:tc>
        <w:tc>
          <w:tcPr>
            <w:tcW w:w="1667" w:type="dxa"/>
            <w:tcBorders>
              <w:top w:val="single" w:sz="4" w:space="0" w:color="auto"/>
              <w:left w:val="single" w:sz="4" w:space="0" w:color="auto"/>
              <w:bottom w:val="single" w:sz="4" w:space="0" w:color="auto"/>
              <w:right w:val="single" w:sz="4" w:space="0" w:color="auto"/>
            </w:tcBorders>
          </w:tcPr>
          <w:p w14:paraId="791991E3" w14:textId="77777777" w:rsidR="00BD2F93" w:rsidRPr="00305ACC" w:rsidRDefault="00BD2F93" w:rsidP="00BD2F93">
            <w:pPr>
              <w:rPr>
                <w:sz w:val="20"/>
              </w:rPr>
            </w:pPr>
            <w:proofErr w:type="spellStart"/>
            <w:r w:rsidRPr="00305ACC">
              <w:rPr>
                <w:sz w:val="20"/>
              </w:rPr>
              <w:t>Off.lova</w:t>
            </w:r>
            <w:proofErr w:type="spellEnd"/>
            <w:r w:rsidRPr="00305ACC">
              <w:rPr>
                <w:sz w:val="20"/>
              </w:rPr>
              <w:t xml:space="preserve"> 13 </w:t>
            </w:r>
            <w:proofErr w:type="spellStart"/>
            <w:r w:rsidRPr="00305ACC">
              <w:rPr>
                <w:sz w:val="20"/>
              </w:rPr>
              <w:t>jf</w:t>
            </w:r>
            <w:proofErr w:type="spellEnd"/>
            <w:r w:rsidRPr="00305ACC">
              <w:rPr>
                <w:sz w:val="20"/>
              </w:rPr>
              <w:t xml:space="preserve"> </w:t>
            </w:r>
            <w:proofErr w:type="spellStart"/>
            <w:r w:rsidRPr="00305ACC">
              <w:rPr>
                <w:sz w:val="20"/>
              </w:rPr>
              <w:t>fvl</w:t>
            </w:r>
            <w:proofErr w:type="spellEnd"/>
            <w:r w:rsidRPr="00305ACC">
              <w:rPr>
                <w:sz w:val="20"/>
              </w:rPr>
              <w:t xml:space="preserve"> § 13 første ledd </w:t>
            </w:r>
            <w:proofErr w:type="spellStart"/>
            <w:proofErr w:type="gramStart"/>
            <w:r w:rsidRPr="00305ACC">
              <w:rPr>
                <w:sz w:val="20"/>
              </w:rPr>
              <w:t>pkt</w:t>
            </w:r>
            <w:proofErr w:type="spellEnd"/>
            <w:r w:rsidRPr="00305ACC">
              <w:rPr>
                <w:sz w:val="20"/>
              </w:rPr>
              <w:t xml:space="preserve">  2</w:t>
            </w:r>
            <w:proofErr w:type="gramEnd"/>
            <w:r w:rsidRPr="00305ACC">
              <w:rPr>
                <w:sz w:val="20"/>
              </w:rPr>
              <w:t>).</w:t>
            </w:r>
          </w:p>
          <w:p w14:paraId="64FE9C89" w14:textId="77777777" w:rsidR="00BD2F93" w:rsidRPr="00305ACC" w:rsidRDefault="00BD2F93" w:rsidP="00BD2F93">
            <w:pPr>
              <w:rPr>
                <w:sz w:val="20"/>
              </w:rPr>
            </w:pPr>
          </w:p>
          <w:p w14:paraId="16C82357" w14:textId="77777777" w:rsidR="00BD2F93" w:rsidRPr="00305ACC" w:rsidRDefault="00BD2F93" w:rsidP="00BD2F93">
            <w:pPr>
              <w:rPr>
                <w:sz w:val="20"/>
              </w:rPr>
            </w:pPr>
            <w:r w:rsidRPr="00305ACC">
              <w:rPr>
                <w:sz w:val="20"/>
              </w:rPr>
              <w:t xml:space="preserve">Hele teksten er sladdet med hjemmel i </w:t>
            </w:r>
            <w:proofErr w:type="spellStart"/>
            <w:proofErr w:type="gramStart"/>
            <w:r w:rsidRPr="00305ACC">
              <w:rPr>
                <w:sz w:val="20"/>
              </w:rPr>
              <w:t>off.lova</w:t>
            </w:r>
            <w:proofErr w:type="spellEnd"/>
            <w:proofErr w:type="gramEnd"/>
            <w:r w:rsidRPr="00305ACC">
              <w:rPr>
                <w:sz w:val="20"/>
              </w:rPr>
              <w:t xml:space="preserve"> § 12 bokstav c.</w:t>
            </w:r>
          </w:p>
        </w:tc>
      </w:tr>
      <w:tr w:rsidR="00BD2F93" w:rsidRPr="00305ACC" w14:paraId="1A66C79B" w14:textId="77777777" w:rsidTr="00305ACC">
        <w:tc>
          <w:tcPr>
            <w:tcW w:w="1384" w:type="dxa"/>
            <w:tcBorders>
              <w:top w:val="single" w:sz="4" w:space="0" w:color="auto"/>
              <w:left w:val="single" w:sz="4" w:space="0" w:color="auto"/>
              <w:bottom w:val="single" w:sz="4" w:space="0" w:color="auto"/>
              <w:right w:val="single" w:sz="4" w:space="0" w:color="auto"/>
            </w:tcBorders>
            <w:hideMark/>
          </w:tcPr>
          <w:p w14:paraId="0A1B5CA7" w14:textId="77777777" w:rsidR="00BD2F93" w:rsidRPr="00305ACC" w:rsidRDefault="00BD2F93" w:rsidP="00BD2F93">
            <w:pPr>
              <w:rPr>
                <w:sz w:val="20"/>
              </w:rPr>
            </w:pPr>
            <w:r w:rsidRPr="00305ACC">
              <w:rPr>
                <w:sz w:val="20"/>
              </w:rPr>
              <w:t>Kapittel 3</w:t>
            </w:r>
          </w:p>
          <w:p w14:paraId="56BE3A73" w14:textId="77777777" w:rsidR="00BD2F93" w:rsidRPr="00305ACC" w:rsidRDefault="00BD2F93" w:rsidP="00BD2F93">
            <w:pPr>
              <w:rPr>
                <w:sz w:val="20"/>
              </w:rPr>
            </w:pPr>
            <w:r w:rsidRPr="00305ACC">
              <w:rPr>
                <w:sz w:val="20"/>
              </w:rPr>
              <w:t>Prisskjema</w:t>
            </w:r>
          </w:p>
        </w:tc>
        <w:tc>
          <w:tcPr>
            <w:tcW w:w="851" w:type="dxa"/>
            <w:tcBorders>
              <w:top w:val="single" w:sz="4" w:space="0" w:color="auto"/>
              <w:left w:val="single" w:sz="4" w:space="0" w:color="auto"/>
              <w:bottom w:val="single" w:sz="4" w:space="0" w:color="auto"/>
              <w:right w:val="single" w:sz="4" w:space="0" w:color="auto"/>
            </w:tcBorders>
          </w:tcPr>
          <w:p w14:paraId="5AD52811" w14:textId="77777777" w:rsidR="00BD2F93" w:rsidRPr="00305ACC" w:rsidRDefault="00BD2F93" w:rsidP="00BD2F93">
            <w:pPr>
              <w:rPr>
                <w:sz w:val="20"/>
              </w:rPr>
            </w:pPr>
          </w:p>
        </w:tc>
        <w:tc>
          <w:tcPr>
            <w:tcW w:w="1559" w:type="dxa"/>
            <w:tcBorders>
              <w:top w:val="single" w:sz="4" w:space="0" w:color="auto"/>
              <w:left w:val="single" w:sz="4" w:space="0" w:color="auto"/>
              <w:bottom w:val="single" w:sz="4" w:space="0" w:color="auto"/>
              <w:right w:val="single" w:sz="4" w:space="0" w:color="auto"/>
            </w:tcBorders>
          </w:tcPr>
          <w:p w14:paraId="3E6EE94B" w14:textId="77777777" w:rsidR="00BD2F93" w:rsidRPr="00305ACC" w:rsidRDefault="00BD2F93" w:rsidP="00BD2F93">
            <w:pPr>
              <w:rPr>
                <w:sz w:val="20"/>
              </w:rPr>
            </w:pPr>
          </w:p>
        </w:tc>
        <w:tc>
          <w:tcPr>
            <w:tcW w:w="3827" w:type="dxa"/>
            <w:tcBorders>
              <w:top w:val="single" w:sz="4" w:space="0" w:color="auto"/>
              <w:left w:val="single" w:sz="4" w:space="0" w:color="auto"/>
              <w:bottom w:val="single" w:sz="4" w:space="0" w:color="auto"/>
              <w:right w:val="single" w:sz="4" w:space="0" w:color="auto"/>
            </w:tcBorders>
            <w:hideMark/>
          </w:tcPr>
          <w:p w14:paraId="3FF8C946" w14:textId="77777777" w:rsidR="00BD2F93" w:rsidRPr="00305ACC" w:rsidRDefault="00BD2F93" w:rsidP="00BD2F93">
            <w:pPr>
              <w:rPr>
                <w:sz w:val="20"/>
              </w:rPr>
            </w:pPr>
            <w:r w:rsidRPr="00305ACC">
              <w:rPr>
                <w:sz w:val="20"/>
              </w:rPr>
              <w:t>Sladdes i sin helhet da det inneholder enhetspriser.</w:t>
            </w:r>
          </w:p>
        </w:tc>
        <w:tc>
          <w:tcPr>
            <w:tcW w:w="1667" w:type="dxa"/>
            <w:tcBorders>
              <w:top w:val="single" w:sz="4" w:space="0" w:color="auto"/>
              <w:left w:val="single" w:sz="4" w:space="0" w:color="auto"/>
              <w:bottom w:val="single" w:sz="4" w:space="0" w:color="auto"/>
              <w:right w:val="single" w:sz="4" w:space="0" w:color="auto"/>
            </w:tcBorders>
          </w:tcPr>
          <w:p w14:paraId="464E52E7" w14:textId="77777777" w:rsidR="00BD2F93" w:rsidRPr="00305ACC" w:rsidRDefault="00BD2F93" w:rsidP="00BD2F93">
            <w:pPr>
              <w:rPr>
                <w:sz w:val="20"/>
              </w:rPr>
            </w:pPr>
            <w:proofErr w:type="spellStart"/>
            <w:r w:rsidRPr="00305ACC">
              <w:rPr>
                <w:sz w:val="20"/>
              </w:rPr>
              <w:t>Off.lova</w:t>
            </w:r>
            <w:proofErr w:type="spellEnd"/>
            <w:r w:rsidRPr="00305ACC">
              <w:rPr>
                <w:sz w:val="20"/>
              </w:rPr>
              <w:t xml:space="preserve"> 13 </w:t>
            </w:r>
            <w:proofErr w:type="spellStart"/>
            <w:r w:rsidRPr="00305ACC">
              <w:rPr>
                <w:sz w:val="20"/>
              </w:rPr>
              <w:t>jf</w:t>
            </w:r>
            <w:proofErr w:type="spellEnd"/>
            <w:r w:rsidRPr="00305ACC">
              <w:rPr>
                <w:sz w:val="20"/>
              </w:rPr>
              <w:t xml:space="preserve"> </w:t>
            </w:r>
            <w:proofErr w:type="spellStart"/>
            <w:r w:rsidRPr="00305ACC">
              <w:rPr>
                <w:sz w:val="20"/>
              </w:rPr>
              <w:t>fvl</w:t>
            </w:r>
            <w:proofErr w:type="spellEnd"/>
            <w:r w:rsidRPr="00305ACC">
              <w:rPr>
                <w:sz w:val="20"/>
              </w:rPr>
              <w:t xml:space="preserve"> § 13 første ledd </w:t>
            </w:r>
            <w:proofErr w:type="spellStart"/>
            <w:proofErr w:type="gramStart"/>
            <w:r w:rsidRPr="00305ACC">
              <w:rPr>
                <w:sz w:val="20"/>
              </w:rPr>
              <w:t>pkt</w:t>
            </w:r>
            <w:proofErr w:type="spellEnd"/>
            <w:r w:rsidRPr="00305ACC">
              <w:rPr>
                <w:sz w:val="20"/>
              </w:rPr>
              <w:t xml:space="preserve">  2</w:t>
            </w:r>
            <w:proofErr w:type="gramEnd"/>
            <w:r w:rsidRPr="00305ACC">
              <w:rPr>
                <w:sz w:val="20"/>
              </w:rPr>
              <w:t>).</w:t>
            </w:r>
          </w:p>
          <w:p w14:paraId="45CF44E7" w14:textId="77777777" w:rsidR="00BD2F93" w:rsidRPr="00305ACC" w:rsidRDefault="00BD2F93" w:rsidP="00BD2F93">
            <w:pPr>
              <w:rPr>
                <w:sz w:val="20"/>
              </w:rPr>
            </w:pPr>
          </w:p>
          <w:p w14:paraId="3B933BB8" w14:textId="77777777" w:rsidR="00BD2F93" w:rsidRPr="00305ACC" w:rsidRDefault="00BD2F93" w:rsidP="00BD2F93">
            <w:pPr>
              <w:rPr>
                <w:sz w:val="20"/>
              </w:rPr>
            </w:pPr>
            <w:r w:rsidRPr="00305ACC">
              <w:rPr>
                <w:sz w:val="20"/>
              </w:rPr>
              <w:t xml:space="preserve">Hele teksten er sladdet med hjemmel i </w:t>
            </w:r>
            <w:proofErr w:type="spellStart"/>
            <w:proofErr w:type="gramStart"/>
            <w:r w:rsidRPr="00305ACC">
              <w:rPr>
                <w:sz w:val="20"/>
              </w:rPr>
              <w:t>off.lova</w:t>
            </w:r>
            <w:proofErr w:type="spellEnd"/>
            <w:proofErr w:type="gramEnd"/>
            <w:r w:rsidRPr="00305ACC">
              <w:rPr>
                <w:sz w:val="20"/>
              </w:rPr>
              <w:t xml:space="preserve"> § 12 bokstav c.</w:t>
            </w:r>
          </w:p>
        </w:tc>
      </w:tr>
      <w:tr w:rsidR="00BD2F93" w:rsidRPr="00305ACC" w14:paraId="1D9101E5" w14:textId="77777777" w:rsidTr="00305ACC">
        <w:tc>
          <w:tcPr>
            <w:tcW w:w="1384" w:type="dxa"/>
            <w:tcBorders>
              <w:top w:val="single" w:sz="4" w:space="0" w:color="auto"/>
              <w:left w:val="single" w:sz="4" w:space="0" w:color="auto"/>
              <w:bottom w:val="single" w:sz="4" w:space="0" w:color="auto"/>
              <w:right w:val="single" w:sz="4" w:space="0" w:color="auto"/>
            </w:tcBorders>
            <w:hideMark/>
          </w:tcPr>
          <w:p w14:paraId="74043CE7" w14:textId="77777777" w:rsidR="00BD2F93" w:rsidRPr="00305ACC" w:rsidRDefault="00BD2F93" w:rsidP="00BD2F93">
            <w:pPr>
              <w:rPr>
                <w:sz w:val="20"/>
              </w:rPr>
            </w:pPr>
            <w:r w:rsidRPr="00305ACC">
              <w:rPr>
                <w:sz w:val="20"/>
              </w:rPr>
              <w:t>Kapittel 4 Redegjørelse for leveransen</w:t>
            </w:r>
          </w:p>
        </w:tc>
        <w:tc>
          <w:tcPr>
            <w:tcW w:w="851" w:type="dxa"/>
            <w:tcBorders>
              <w:top w:val="single" w:sz="4" w:space="0" w:color="auto"/>
              <w:left w:val="single" w:sz="4" w:space="0" w:color="auto"/>
              <w:bottom w:val="single" w:sz="4" w:space="0" w:color="auto"/>
              <w:right w:val="single" w:sz="4" w:space="0" w:color="auto"/>
            </w:tcBorders>
            <w:hideMark/>
          </w:tcPr>
          <w:p w14:paraId="61A16194" w14:textId="77777777" w:rsidR="00BD2F93" w:rsidRPr="00305ACC" w:rsidRDefault="00BD2F93" w:rsidP="00BD2F93">
            <w:pPr>
              <w:rPr>
                <w:sz w:val="20"/>
              </w:rPr>
            </w:pPr>
            <w:r w:rsidRPr="00305ACC">
              <w:rPr>
                <w:sz w:val="20"/>
              </w:rPr>
              <w:t>4.0</w:t>
            </w:r>
          </w:p>
        </w:tc>
        <w:tc>
          <w:tcPr>
            <w:tcW w:w="1559" w:type="dxa"/>
            <w:tcBorders>
              <w:top w:val="single" w:sz="4" w:space="0" w:color="auto"/>
              <w:left w:val="single" w:sz="4" w:space="0" w:color="auto"/>
              <w:bottom w:val="single" w:sz="4" w:space="0" w:color="auto"/>
              <w:right w:val="single" w:sz="4" w:space="0" w:color="auto"/>
            </w:tcBorders>
            <w:hideMark/>
          </w:tcPr>
          <w:p w14:paraId="072947C1" w14:textId="77777777" w:rsidR="00BD2F93" w:rsidRPr="00305ACC" w:rsidRDefault="00BD2F93" w:rsidP="00BD2F93">
            <w:pPr>
              <w:rPr>
                <w:sz w:val="20"/>
              </w:rPr>
            </w:pPr>
            <w:r w:rsidRPr="00305ACC">
              <w:rPr>
                <w:sz w:val="20"/>
              </w:rPr>
              <w:t>Hele kapittelet</w:t>
            </w:r>
          </w:p>
        </w:tc>
        <w:tc>
          <w:tcPr>
            <w:tcW w:w="3827" w:type="dxa"/>
            <w:tcBorders>
              <w:top w:val="single" w:sz="4" w:space="0" w:color="auto"/>
              <w:left w:val="single" w:sz="4" w:space="0" w:color="auto"/>
              <w:bottom w:val="single" w:sz="4" w:space="0" w:color="auto"/>
              <w:right w:val="single" w:sz="4" w:space="0" w:color="auto"/>
            </w:tcBorders>
          </w:tcPr>
          <w:p w14:paraId="55B27A8C" w14:textId="77777777" w:rsidR="00BD2F93" w:rsidRPr="00305ACC" w:rsidRDefault="00BD2F93" w:rsidP="00BD2F93">
            <w:pPr>
              <w:rPr>
                <w:sz w:val="20"/>
              </w:rPr>
            </w:pPr>
            <w:r w:rsidRPr="00305ACC">
              <w:rPr>
                <w:sz w:val="20"/>
              </w:rPr>
              <w:t xml:space="preserve">Med unntak av gjentagelse av teksten i malen for besvarelse og egenerklæringer, inneholder dette kapittelet beskrivelser av produksjonsmetoder, avtaler inngått med 3.parter, arbeidsavtaler og dokumentasjon som synliggjør sammensetning av team mv. Dette er informasjon som omhandler forhold som gjennomgående er gjenstand for konkurranse. Innsyn i disse dokumentene vil kunne brukes av andre til å tilpasse produksjonsmetoder mv. I en prinsipputtalelse fra justis- og beredskapsdepartementet (publisert 08.03.2011 / </w:t>
            </w:r>
            <w:proofErr w:type="spellStart"/>
            <w:r w:rsidRPr="00305ACC">
              <w:rPr>
                <w:sz w:val="20"/>
              </w:rPr>
              <w:t>ref</w:t>
            </w:r>
            <w:proofErr w:type="spellEnd"/>
            <w:r w:rsidRPr="00305ACC">
              <w:rPr>
                <w:sz w:val="20"/>
              </w:rPr>
              <w:t xml:space="preserve"> 201005859 EO KRY/</w:t>
            </w:r>
            <w:proofErr w:type="spellStart"/>
            <w:r w:rsidRPr="00305ACC">
              <w:rPr>
                <w:sz w:val="20"/>
              </w:rPr>
              <w:t>OKL</w:t>
            </w:r>
            <w:proofErr w:type="spellEnd"/>
            <w:r w:rsidRPr="00305ACC">
              <w:rPr>
                <w:sz w:val="20"/>
              </w:rPr>
              <w:t xml:space="preserve">) fremgår at en slik risiko medfører at opplysningene er underlagt taushetsplikt. </w:t>
            </w:r>
          </w:p>
          <w:p w14:paraId="3B1438FB" w14:textId="77777777" w:rsidR="00BD2F93" w:rsidRPr="00305ACC" w:rsidRDefault="00BD2F93" w:rsidP="00BD2F93">
            <w:pPr>
              <w:rPr>
                <w:sz w:val="20"/>
              </w:rPr>
            </w:pPr>
          </w:p>
          <w:p w14:paraId="11DAD326" w14:textId="77777777" w:rsidR="00BD2F93" w:rsidRPr="00305ACC" w:rsidRDefault="00BD2F93" w:rsidP="00BD2F93">
            <w:pPr>
              <w:rPr>
                <w:sz w:val="20"/>
              </w:rPr>
            </w:pPr>
            <w:r w:rsidRPr="00305ACC">
              <w:rPr>
                <w:sz w:val="20"/>
              </w:rPr>
              <w:t xml:space="preserve">De opplysningene som er underlagt taushetsplikt i dette kapittelet utgjør den vesentligste delen av dokumentet. Dokumentet kan følgelig unntas i sin helhet </w:t>
            </w:r>
            <w:proofErr w:type="spellStart"/>
            <w:r w:rsidRPr="00305ACC">
              <w:rPr>
                <w:sz w:val="20"/>
              </w:rPr>
              <w:t>jf</w:t>
            </w:r>
            <w:proofErr w:type="spellEnd"/>
            <w:r w:rsidRPr="00305ACC">
              <w:rPr>
                <w:sz w:val="20"/>
              </w:rPr>
              <w:t xml:space="preserve"> </w:t>
            </w:r>
            <w:proofErr w:type="spellStart"/>
            <w:proofErr w:type="gramStart"/>
            <w:r w:rsidRPr="00305ACC">
              <w:rPr>
                <w:sz w:val="20"/>
              </w:rPr>
              <w:t>off.lova</w:t>
            </w:r>
            <w:proofErr w:type="spellEnd"/>
            <w:proofErr w:type="gramEnd"/>
            <w:r w:rsidRPr="00305ACC">
              <w:rPr>
                <w:sz w:val="20"/>
              </w:rPr>
              <w:t xml:space="preserve"> § 12 bokstav c.   </w:t>
            </w:r>
          </w:p>
        </w:tc>
        <w:tc>
          <w:tcPr>
            <w:tcW w:w="1667" w:type="dxa"/>
            <w:tcBorders>
              <w:top w:val="single" w:sz="4" w:space="0" w:color="auto"/>
              <w:left w:val="single" w:sz="4" w:space="0" w:color="auto"/>
              <w:bottom w:val="single" w:sz="4" w:space="0" w:color="auto"/>
              <w:right w:val="single" w:sz="4" w:space="0" w:color="auto"/>
            </w:tcBorders>
          </w:tcPr>
          <w:p w14:paraId="12E303BE" w14:textId="77777777" w:rsidR="00BD2F93" w:rsidRPr="00305ACC" w:rsidRDefault="00BD2F93" w:rsidP="00BD2F93">
            <w:pPr>
              <w:rPr>
                <w:sz w:val="20"/>
              </w:rPr>
            </w:pPr>
            <w:proofErr w:type="spellStart"/>
            <w:r w:rsidRPr="00305ACC">
              <w:rPr>
                <w:sz w:val="20"/>
              </w:rPr>
              <w:t>Off.lova</w:t>
            </w:r>
            <w:proofErr w:type="spellEnd"/>
            <w:r w:rsidRPr="00305ACC">
              <w:rPr>
                <w:sz w:val="20"/>
              </w:rPr>
              <w:t xml:space="preserve"> 13 </w:t>
            </w:r>
            <w:proofErr w:type="spellStart"/>
            <w:r w:rsidRPr="00305ACC">
              <w:rPr>
                <w:sz w:val="20"/>
              </w:rPr>
              <w:t>jf</w:t>
            </w:r>
            <w:proofErr w:type="spellEnd"/>
            <w:r w:rsidRPr="00305ACC">
              <w:rPr>
                <w:sz w:val="20"/>
              </w:rPr>
              <w:t xml:space="preserve"> </w:t>
            </w:r>
            <w:proofErr w:type="spellStart"/>
            <w:r w:rsidRPr="00305ACC">
              <w:rPr>
                <w:sz w:val="20"/>
              </w:rPr>
              <w:t>fvl</w:t>
            </w:r>
            <w:proofErr w:type="spellEnd"/>
            <w:r w:rsidRPr="00305ACC">
              <w:rPr>
                <w:sz w:val="20"/>
              </w:rPr>
              <w:t xml:space="preserve"> § 13 første ledd </w:t>
            </w:r>
            <w:proofErr w:type="spellStart"/>
            <w:proofErr w:type="gramStart"/>
            <w:r w:rsidRPr="00305ACC">
              <w:rPr>
                <w:sz w:val="20"/>
              </w:rPr>
              <w:t>pkt</w:t>
            </w:r>
            <w:proofErr w:type="spellEnd"/>
            <w:r w:rsidRPr="00305ACC">
              <w:rPr>
                <w:sz w:val="20"/>
              </w:rPr>
              <w:t xml:space="preserve">  2</w:t>
            </w:r>
            <w:proofErr w:type="gramEnd"/>
            <w:r w:rsidRPr="00305ACC">
              <w:rPr>
                <w:sz w:val="20"/>
              </w:rPr>
              <w:t>).</w:t>
            </w:r>
          </w:p>
          <w:p w14:paraId="2A134693" w14:textId="77777777" w:rsidR="00BD2F93" w:rsidRPr="00305ACC" w:rsidRDefault="00BD2F93" w:rsidP="00BD2F93">
            <w:pPr>
              <w:rPr>
                <w:sz w:val="20"/>
              </w:rPr>
            </w:pPr>
          </w:p>
          <w:p w14:paraId="408731DF" w14:textId="77777777" w:rsidR="00BD2F93" w:rsidRPr="00305ACC" w:rsidRDefault="00BD2F93" w:rsidP="00BD2F93">
            <w:pPr>
              <w:rPr>
                <w:sz w:val="20"/>
              </w:rPr>
            </w:pPr>
            <w:r w:rsidRPr="00305ACC">
              <w:rPr>
                <w:sz w:val="20"/>
              </w:rPr>
              <w:t xml:space="preserve">Hele teksten er sladdet med hjemmel i </w:t>
            </w:r>
            <w:proofErr w:type="spellStart"/>
            <w:proofErr w:type="gramStart"/>
            <w:r w:rsidRPr="00305ACC">
              <w:rPr>
                <w:sz w:val="20"/>
              </w:rPr>
              <w:t>off.lova</w:t>
            </w:r>
            <w:proofErr w:type="spellEnd"/>
            <w:proofErr w:type="gramEnd"/>
            <w:r w:rsidRPr="00305ACC">
              <w:rPr>
                <w:sz w:val="20"/>
              </w:rPr>
              <w:t xml:space="preserve"> § 12 bokstav c.</w:t>
            </w:r>
          </w:p>
        </w:tc>
      </w:tr>
    </w:tbl>
    <w:p w14:paraId="714250C2" w14:textId="77777777" w:rsidR="00603F3B" w:rsidRPr="009C62C9" w:rsidRDefault="00603F3B" w:rsidP="00603F3B"/>
    <w:sectPr w:rsidR="00603F3B" w:rsidRPr="009C62C9">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071FC" w14:textId="77777777" w:rsidR="00FE0080" w:rsidRDefault="00FE0080" w:rsidP="002A00EF">
      <w:pPr>
        <w:spacing w:after="0" w:line="240" w:lineRule="auto"/>
      </w:pPr>
      <w:r>
        <w:separator/>
      </w:r>
    </w:p>
  </w:endnote>
  <w:endnote w:type="continuationSeparator" w:id="0">
    <w:p w14:paraId="0012740B" w14:textId="77777777" w:rsidR="00FE0080" w:rsidRDefault="00FE0080" w:rsidP="002A0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CE132" w14:textId="77777777" w:rsidR="00FE0080" w:rsidRDefault="00FE0080" w:rsidP="002A00EF">
      <w:pPr>
        <w:spacing w:after="0" w:line="240" w:lineRule="auto"/>
      </w:pPr>
      <w:r>
        <w:separator/>
      </w:r>
    </w:p>
  </w:footnote>
  <w:footnote w:type="continuationSeparator" w:id="0">
    <w:p w14:paraId="7F512715" w14:textId="77777777" w:rsidR="00FE0080" w:rsidRDefault="00FE0080" w:rsidP="002A00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6D61C" w14:textId="115CFD34" w:rsidR="009C62C9" w:rsidRDefault="00E15226">
    <w:pPr>
      <w:pStyle w:val="Topptekst"/>
    </w:pPr>
    <w:r w:rsidRPr="000D66C8">
      <w:rPr>
        <w:noProof/>
      </w:rPr>
      <w:drawing>
        <wp:inline distT="0" distB="0" distL="0" distR="0" wp14:anchorId="11BE25FD" wp14:editId="46C422B1">
          <wp:extent cx="2613600" cy="464400"/>
          <wp:effectExtent l="0" t="0" r="0" b="0"/>
          <wp:docPr id="2" name="Bilde 2" descr="H:\risiko\maler til Sykehusinnkjøp HF\logo SI HF\Sykehusinnkj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isiko\maler til Sykehusinnkjøp HF\logo SI HF\Sykehusinnkjop.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13600" cy="464400"/>
                  </a:xfrm>
                  <a:prstGeom prst="rect">
                    <a:avLst/>
                  </a:prstGeom>
                  <a:noFill/>
                  <a:ln>
                    <a:noFill/>
                  </a:ln>
                </pic:spPr>
              </pic:pic>
            </a:graphicData>
          </a:graphic>
        </wp:inline>
      </w:drawing>
    </w:r>
    <w:r w:rsidR="00B61F3F">
      <w:tab/>
    </w:r>
    <w:r w:rsidR="00B61F3F">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proofState w:spelling="clean" w:grammar="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0EF"/>
    <w:rsid w:val="00026285"/>
    <w:rsid w:val="00063A4E"/>
    <w:rsid w:val="00065BB3"/>
    <w:rsid w:val="000735D8"/>
    <w:rsid w:val="000A5481"/>
    <w:rsid w:val="000E6B54"/>
    <w:rsid w:val="00103DF9"/>
    <w:rsid w:val="001738F5"/>
    <w:rsid w:val="001D21E6"/>
    <w:rsid w:val="00257C01"/>
    <w:rsid w:val="002A00EF"/>
    <w:rsid w:val="002E4DF9"/>
    <w:rsid w:val="00305ACC"/>
    <w:rsid w:val="00390860"/>
    <w:rsid w:val="0045650E"/>
    <w:rsid w:val="00456A49"/>
    <w:rsid w:val="004F5A1F"/>
    <w:rsid w:val="005632D6"/>
    <w:rsid w:val="005A7BA0"/>
    <w:rsid w:val="005B781E"/>
    <w:rsid w:val="005E1BDB"/>
    <w:rsid w:val="00603F3B"/>
    <w:rsid w:val="006269B5"/>
    <w:rsid w:val="00632344"/>
    <w:rsid w:val="006933F6"/>
    <w:rsid w:val="00693FEC"/>
    <w:rsid w:val="006F167F"/>
    <w:rsid w:val="006F5801"/>
    <w:rsid w:val="008A6E85"/>
    <w:rsid w:val="008F02AF"/>
    <w:rsid w:val="00931E9E"/>
    <w:rsid w:val="009548D0"/>
    <w:rsid w:val="009622B4"/>
    <w:rsid w:val="009C62C9"/>
    <w:rsid w:val="009F7E99"/>
    <w:rsid w:val="00A2473F"/>
    <w:rsid w:val="00AB6FE2"/>
    <w:rsid w:val="00AC559C"/>
    <w:rsid w:val="00B1157B"/>
    <w:rsid w:val="00B61F3F"/>
    <w:rsid w:val="00B7158D"/>
    <w:rsid w:val="00B840BC"/>
    <w:rsid w:val="00BD2F93"/>
    <w:rsid w:val="00D50EED"/>
    <w:rsid w:val="00D7754D"/>
    <w:rsid w:val="00D80566"/>
    <w:rsid w:val="00D948DF"/>
    <w:rsid w:val="00DB1E94"/>
    <w:rsid w:val="00DC4012"/>
    <w:rsid w:val="00E062DF"/>
    <w:rsid w:val="00E15226"/>
    <w:rsid w:val="00E21879"/>
    <w:rsid w:val="00E221A7"/>
    <w:rsid w:val="00E26BF8"/>
    <w:rsid w:val="00E403DA"/>
    <w:rsid w:val="00FE0080"/>
    <w:rsid w:val="00FE4CE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4A4C13C"/>
  <w15:docId w15:val="{821F5235-77EC-42C5-8AF8-27CEC01EE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2A00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semiHidden/>
    <w:unhideWhenUsed/>
    <w:qFormat/>
    <w:rsid w:val="00603F3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2A00EF"/>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2A00EF"/>
  </w:style>
  <w:style w:type="paragraph" w:styleId="Bunntekst">
    <w:name w:val="footer"/>
    <w:basedOn w:val="Normal"/>
    <w:link w:val="BunntekstTegn"/>
    <w:uiPriority w:val="99"/>
    <w:unhideWhenUsed/>
    <w:rsid w:val="002A00EF"/>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2A00EF"/>
  </w:style>
  <w:style w:type="paragraph" w:styleId="Bobletekst">
    <w:name w:val="Balloon Text"/>
    <w:basedOn w:val="Normal"/>
    <w:link w:val="BobletekstTegn"/>
    <w:uiPriority w:val="99"/>
    <w:semiHidden/>
    <w:unhideWhenUsed/>
    <w:rsid w:val="002A00EF"/>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2A00EF"/>
    <w:rPr>
      <w:rFonts w:ascii="Tahoma" w:hAnsi="Tahoma" w:cs="Tahoma"/>
      <w:sz w:val="16"/>
      <w:szCs w:val="16"/>
    </w:rPr>
  </w:style>
  <w:style w:type="paragraph" w:customStyle="1" w:styleId="Default">
    <w:name w:val="Default"/>
    <w:rsid w:val="002A00EF"/>
    <w:pPr>
      <w:autoSpaceDE w:val="0"/>
      <w:autoSpaceDN w:val="0"/>
      <w:adjustRightInd w:val="0"/>
      <w:spacing w:after="0" w:line="240" w:lineRule="auto"/>
    </w:pPr>
    <w:rPr>
      <w:rFonts w:ascii="Arial" w:hAnsi="Arial" w:cs="Arial"/>
      <w:color w:val="000000"/>
      <w:sz w:val="24"/>
      <w:szCs w:val="24"/>
    </w:rPr>
  </w:style>
  <w:style w:type="character" w:customStyle="1" w:styleId="Overskrift1Tegn">
    <w:name w:val="Overskrift 1 Tegn"/>
    <w:basedOn w:val="Standardskriftforavsnitt"/>
    <w:link w:val="Overskrift1"/>
    <w:uiPriority w:val="9"/>
    <w:rsid w:val="002A00EF"/>
    <w:rPr>
      <w:rFonts w:asciiTheme="majorHAnsi" w:eastAsiaTheme="majorEastAsia" w:hAnsiTheme="majorHAnsi" w:cstheme="majorBidi"/>
      <w:b/>
      <w:bCs/>
      <w:color w:val="365F91" w:themeColor="accent1" w:themeShade="BF"/>
      <w:sz w:val="28"/>
      <w:szCs w:val="28"/>
    </w:rPr>
  </w:style>
  <w:style w:type="character" w:styleId="Merknadsreferanse">
    <w:name w:val="annotation reference"/>
    <w:basedOn w:val="Standardskriftforavsnitt"/>
    <w:uiPriority w:val="99"/>
    <w:semiHidden/>
    <w:unhideWhenUsed/>
    <w:rsid w:val="002E4DF9"/>
    <w:rPr>
      <w:sz w:val="16"/>
      <w:szCs w:val="16"/>
    </w:rPr>
  </w:style>
  <w:style w:type="paragraph" w:styleId="Merknadstekst">
    <w:name w:val="annotation text"/>
    <w:basedOn w:val="Normal"/>
    <w:link w:val="MerknadstekstTegn"/>
    <w:uiPriority w:val="99"/>
    <w:semiHidden/>
    <w:unhideWhenUsed/>
    <w:rsid w:val="002E4DF9"/>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2E4DF9"/>
    <w:rPr>
      <w:sz w:val="20"/>
      <w:szCs w:val="20"/>
    </w:rPr>
  </w:style>
  <w:style w:type="paragraph" w:styleId="Kommentaremne">
    <w:name w:val="annotation subject"/>
    <w:basedOn w:val="Merknadstekst"/>
    <w:next w:val="Merknadstekst"/>
    <w:link w:val="KommentaremneTegn"/>
    <w:uiPriority w:val="99"/>
    <w:semiHidden/>
    <w:unhideWhenUsed/>
    <w:rsid w:val="002E4DF9"/>
    <w:rPr>
      <w:b/>
      <w:bCs/>
    </w:rPr>
  </w:style>
  <w:style w:type="character" w:customStyle="1" w:styleId="KommentaremneTegn">
    <w:name w:val="Kommentaremne Tegn"/>
    <w:basedOn w:val="MerknadstekstTegn"/>
    <w:link w:val="Kommentaremne"/>
    <w:uiPriority w:val="99"/>
    <w:semiHidden/>
    <w:rsid w:val="002E4DF9"/>
    <w:rPr>
      <w:b/>
      <w:bCs/>
      <w:sz w:val="20"/>
      <w:szCs w:val="20"/>
    </w:rPr>
  </w:style>
  <w:style w:type="character" w:customStyle="1" w:styleId="Overskrift2Tegn">
    <w:name w:val="Overskrift 2 Tegn"/>
    <w:basedOn w:val="Standardskriftforavsnitt"/>
    <w:link w:val="Overskrift2"/>
    <w:uiPriority w:val="9"/>
    <w:semiHidden/>
    <w:rsid w:val="00603F3B"/>
    <w:rPr>
      <w:rFonts w:asciiTheme="majorHAnsi" w:eastAsiaTheme="majorEastAsia" w:hAnsiTheme="majorHAnsi" w:cstheme="majorBidi"/>
      <w:color w:val="365F91" w:themeColor="accent1" w:themeShade="BF"/>
      <w:sz w:val="26"/>
      <w:szCs w:val="26"/>
    </w:rPr>
  </w:style>
  <w:style w:type="table" w:styleId="Tabellrutenett">
    <w:name w:val="Table Grid"/>
    <w:basedOn w:val="Vanligtabell"/>
    <w:uiPriority w:val="59"/>
    <w:rsid w:val="00603F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1">
    <w:name w:val="Tabellrutenett1"/>
    <w:basedOn w:val="Vanligtabell"/>
    <w:next w:val="Tabellrutenett"/>
    <w:uiPriority w:val="59"/>
    <w:rsid w:val="00BD2F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60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E5783C1865AD74EAC76808C16DA8234" ma:contentTypeVersion="0" ma:contentTypeDescription="Opprett et nytt dokument." ma:contentTypeScope="" ma:versionID="d1eb925744a56a43d532f13e8de23b67">
  <xsd:schema xmlns:xsd="http://www.w3.org/2001/XMLSchema" xmlns:p="http://schemas.microsoft.com/office/2006/metadata/properties" targetNamespace="http://schemas.microsoft.com/office/2006/metadata/properties" ma:root="true" ma:fieldsID="ebed2e9da880fd1116f4cada8ffe3c2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ma:readOnly="tru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92E602-9D70-46EE-9079-0DB2EF4129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1FAE7BE-7FD9-41FC-9929-FA4D3D732D05}">
  <ds:schemaRef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purl.org/dc/terms/"/>
    <ds:schemaRef ds:uri="http://www.w3.org/XML/1998/namespace"/>
  </ds:schemaRefs>
</ds:datastoreItem>
</file>

<file path=customXml/itemProps3.xml><?xml version="1.0" encoding="utf-8"?>
<ds:datastoreItem xmlns:ds="http://schemas.openxmlformats.org/officeDocument/2006/customXml" ds:itemID="{0C44D912-1302-4CDA-95F8-59FA49F177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1053</Words>
  <Characters>5581</Characters>
  <Application>Microsoft Office Word</Application>
  <DocSecurity>0</DocSecurity>
  <Lines>46</Lines>
  <Paragraphs>13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Guro Bøhm</dc:creator>
  <cp:lastModifiedBy>Dorota Wajgiel-Hedkvist</cp:lastModifiedBy>
  <cp:revision>4</cp:revision>
  <dcterms:created xsi:type="dcterms:W3CDTF">2022-02-17T12:03:00Z</dcterms:created>
  <dcterms:modified xsi:type="dcterms:W3CDTF">2022-03-01T08:37:00Z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0x0101005E5783C1865AD74EAC76808C16DA8234</vt:lpwstr>
  </property>
</Properties>
</file>