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E4996" w14:textId="100DFC02" w:rsidR="00117C76" w:rsidRPr="00976953" w:rsidRDefault="00976953" w:rsidP="00BE7393">
      <w:pPr>
        <w:spacing w:before="240"/>
        <w:rPr>
          <w:b/>
          <w:sz w:val="24"/>
          <w:szCs w:val="32"/>
        </w:rPr>
      </w:pPr>
      <w:r w:rsidRPr="00976953">
        <w:rPr>
          <w:b/>
          <w:sz w:val="24"/>
          <w:szCs w:val="32"/>
        </w:rPr>
        <w:t xml:space="preserve">Vedlegg </w:t>
      </w:r>
      <w:r w:rsidR="00836C22">
        <w:rPr>
          <w:b/>
          <w:sz w:val="24"/>
          <w:szCs w:val="32"/>
        </w:rPr>
        <w:t>7</w:t>
      </w:r>
      <w:r w:rsidR="00D143B2" w:rsidRPr="00976953">
        <w:rPr>
          <w:b/>
          <w:sz w:val="24"/>
          <w:szCs w:val="32"/>
        </w:rPr>
        <w:t xml:space="preserve"> </w:t>
      </w:r>
      <w:r w:rsidR="002062F1">
        <w:rPr>
          <w:b/>
          <w:sz w:val="24"/>
          <w:szCs w:val="32"/>
        </w:rPr>
        <w:t>A</w:t>
      </w:r>
    </w:p>
    <w:p w14:paraId="70F2F8B8" w14:textId="0BB7B9B9" w:rsidR="00893DB6" w:rsidRPr="00976953" w:rsidRDefault="0053769A" w:rsidP="00BE7393">
      <w:pPr>
        <w:spacing w:before="240"/>
        <w:rPr>
          <w:b/>
          <w:sz w:val="24"/>
          <w:szCs w:val="32"/>
        </w:rPr>
      </w:pPr>
      <w:r w:rsidRPr="00976953">
        <w:rPr>
          <w:b/>
          <w:sz w:val="24"/>
          <w:szCs w:val="32"/>
        </w:rPr>
        <w:t>Sikkerhet</w:t>
      </w:r>
    </w:p>
    <w:p w14:paraId="61B221CF" w14:textId="77777777" w:rsidR="008B2A1D" w:rsidRDefault="008B2A1D" w:rsidP="008B2A1D">
      <w:pPr>
        <w:pStyle w:val="Overskrift1"/>
        <w:numPr>
          <w:ilvl w:val="0"/>
          <w:numId w:val="0"/>
        </w:numPr>
        <w:rPr>
          <w:b w:val="0"/>
        </w:rPr>
      </w:pPr>
    </w:p>
    <w:p w14:paraId="054E3557" w14:textId="51B8712B" w:rsidR="001A6353" w:rsidRPr="001A6353" w:rsidRDefault="001A6353" w:rsidP="007F2745">
      <w:pPr>
        <w:pStyle w:val="Overskrift1"/>
        <w:numPr>
          <w:ilvl w:val="0"/>
          <w:numId w:val="0"/>
        </w:numPr>
        <w:ind w:left="432" w:hanging="432"/>
        <w:rPr>
          <w:rFonts w:cs="Arial"/>
          <w:b w:val="0"/>
        </w:rPr>
      </w:pPr>
    </w:p>
    <w:p w14:paraId="4C25FC51" w14:textId="38DCDA4B" w:rsidR="00B56339" w:rsidRPr="0014375E" w:rsidRDefault="00AC2DB0" w:rsidP="00B56339">
      <w:pPr>
        <w:pStyle w:val="Overskrift1"/>
      </w:pPr>
      <w:bookmarkStart w:id="0" w:name="_Toc57314151"/>
      <w:bookmarkStart w:id="1" w:name="_Toc57316022"/>
      <w:r>
        <w:t>Autorisasjon</w:t>
      </w:r>
      <w:r w:rsidR="00B56339" w:rsidRPr="0014375E">
        <w:t xml:space="preserve"> og </w:t>
      </w:r>
      <w:r>
        <w:t xml:space="preserve">eventuell </w:t>
      </w:r>
      <w:r w:rsidR="00B56339" w:rsidRPr="0014375E">
        <w:t>sikkerhetsklarering av leverandørens personell</w:t>
      </w:r>
      <w:bookmarkEnd w:id="0"/>
      <w:bookmarkEnd w:id="1"/>
    </w:p>
    <w:p w14:paraId="684D8478" w14:textId="2D02FC03" w:rsidR="00B56339" w:rsidRPr="000C78A5" w:rsidRDefault="00B56339" w:rsidP="00B56339">
      <w:r w:rsidRPr="00B1238A">
        <w:t xml:space="preserve">For avrop på rammeavtalen </w:t>
      </w:r>
      <w:r>
        <w:t>som innebærer at leverandørens personell skal få tilgang til sikkerhetsgradert informasjon eller skjermingsverdig objekt eller infrastruktur, vil det stilles krav til at vedkommende skal autoriseres. Dersom vedkommende skal ha tilgang til informasjon gradert KONFIDENSIELT eller skjermingsverdig objekt eller infrastruktur skal vedkommende i tillegg inneha gyldig sikkerhetsklarering.</w:t>
      </w:r>
    </w:p>
    <w:p w14:paraId="00DFCFA8" w14:textId="1C070EA3" w:rsidR="00B56339" w:rsidRDefault="00B56339" w:rsidP="00B56339">
      <w:r w:rsidRPr="00FC3EAA">
        <w:t>Leverandøren skal til enhver tid ha et tilstrekkelig antall personer med gyldig sikkerhetsklarering slik at ethvert oppdrag i henhold til rammeavtalen kan løses uten forsinkelser og med den kvalitet som beskrevet.</w:t>
      </w:r>
      <w:r>
        <w:t xml:space="preserve"> </w:t>
      </w:r>
    </w:p>
    <w:p w14:paraId="252E0E44" w14:textId="3724309A" w:rsidR="00B56339" w:rsidRDefault="00B56339" w:rsidP="00B56339">
      <w:r>
        <w:t>For å hindre forsinkelser kreves det at noe leverandørpersonell sikkerhetsklareres etter inngåelse av rammeavta</w:t>
      </w:r>
      <w:r w:rsidR="00532142">
        <w:t xml:space="preserve">le, men før inngåelse av avrop. </w:t>
      </w:r>
      <w:r w:rsidR="00532142" w:rsidRPr="00B56339">
        <w:t>Det personellet som Leverandøren ønsker å benytte under utførelse av oppdragene må ha et reelt tjenstlig behov. Behovet må skriftlig begrunnes for den enkelte.</w:t>
      </w:r>
    </w:p>
    <w:p w14:paraId="72E5FCF3" w14:textId="02448629" w:rsidR="00B56339" w:rsidRPr="00467B6F" w:rsidRDefault="00B56339" w:rsidP="00B56339">
      <w:pPr>
        <w:rPr>
          <w:color w:val="000000"/>
        </w:rPr>
      </w:pPr>
      <w:r w:rsidRPr="00467B6F">
        <w:rPr>
          <w:color w:val="000000"/>
        </w:rPr>
        <w:t xml:space="preserve">For denne rammeavtalen vil det være behov for å sikkerhetsklarere </w:t>
      </w:r>
      <w:r w:rsidRPr="00467B6F">
        <w:rPr>
          <w:b/>
          <w:bCs/>
          <w:color w:val="000000"/>
        </w:rPr>
        <w:t>[</w:t>
      </w:r>
      <w:r w:rsidR="009A50F2">
        <w:rPr>
          <w:b/>
          <w:bCs/>
          <w:color w:val="000000"/>
        </w:rPr>
        <w:t>7</w:t>
      </w:r>
      <w:r w:rsidRPr="00467B6F">
        <w:rPr>
          <w:b/>
          <w:bCs/>
          <w:color w:val="000000"/>
        </w:rPr>
        <w:t xml:space="preserve">] </w:t>
      </w:r>
      <w:r w:rsidRPr="00467B6F">
        <w:rPr>
          <w:bCs/>
          <w:color w:val="000000"/>
        </w:rPr>
        <w:t>personer</w:t>
      </w:r>
      <w:r w:rsidRPr="00467B6F">
        <w:rPr>
          <w:color w:val="000000"/>
        </w:rPr>
        <w:t xml:space="preserve"> per konkurranseområde kunngjøringen er oppdelt i. Klareringsnivået er </w:t>
      </w:r>
      <w:sdt>
        <w:sdtPr>
          <w:rPr>
            <w:color w:val="000000"/>
          </w:rPr>
          <w:id w:val="436342394"/>
          <w:placeholder>
            <w:docPart w:val="53F10A4319CB40EAA52B0739332D1E97"/>
          </w:placeholder>
          <w:dropDownList>
            <w:listItem w:value="Velg et element."/>
            <w:listItem w:displayText="KONFIDENSIELT." w:value="KONFIDENSIELT."/>
            <w:listItem w:displayText="HEMMELIG." w:value="HEMMELIG."/>
            <w:listItem w:displayText="STRENGT HEMMELIG." w:value="STRENGT HEMMELIG."/>
          </w:dropDownList>
        </w:sdtPr>
        <w:sdtEndPr/>
        <w:sdtContent>
          <w:r w:rsidR="009A50F2">
            <w:rPr>
              <w:color w:val="000000"/>
            </w:rPr>
            <w:t>HEMMELIG.</w:t>
          </w:r>
        </w:sdtContent>
      </w:sdt>
    </w:p>
    <w:p w14:paraId="56527B35" w14:textId="77777777" w:rsidR="00B56339" w:rsidRPr="00B56339" w:rsidRDefault="00B56339" w:rsidP="00B56339">
      <w:r w:rsidRPr="00B56339">
        <w:t>Etter at rammeavtalen er inngått og avtalen er virksom vil behov for å sikkerhetsklarere personell variere ut fra omfang av bruken av rammeavtalen og det tjenstlige behovet.</w:t>
      </w:r>
    </w:p>
    <w:p w14:paraId="354D741A" w14:textId="05B9B8C7" w:rsidR="00B56339" w:rsidRPr="00B56339" w:rsidRDefault="00B56339" w:rsidP="00B56339">
      <w:r w:rsidRPr="00B56339">
        <w:t xml:space="preserve">Krav til </w:t>
      </w:r>
      <w:r w:rsidRPr="00B5373B">
        <w:t xml:space="preserve">beskyttelse av skjermingsverdig informasjon (ugradert eller sikkerhetsgradert), skjermingsverdige informasjonssystemer og skjermingsverdige objekter og infrastruktur er gitt i </w:t>
      </w:r>
      <w:r w:rsidR="00B5373B" w:rsidRPr="00B5373B">
        <w:t>vedlegg 5 B</w:t>
      </w:r>
      <w:r w:rsidRPr="00B5373B">
        <w:t>.</w:t>
      </w:r>
    </w:p>
    <w:p w14:paraId="776BC6BC" w14:textId="77777777" w:rsidR="00B56339" w:rsidRPr="00B1238A" w:rsidRDefault="00B56339" w:rsidP="00B56339">
      <w:pPr>
        <w:rPr>
          <w:b/>
        </w:rPr>
      </w:pPr>
    </w:p>
    <w:p w14:paraId="7CB40A76" w14:textId="3C4FEF16" w:rsidR="00B56339" w:rsidRPr="0014375E" w:rsidRDefault="00B56339" w:rsidP="00B56339">
      <w:pPr>
        <w:pStyle w:val="Overskrift1"/>
      </w:pPr>
      <w:bookmarkStart w:id="2" w:name="_Toc57314152"/>
      <w:bookmarkStart w:id="3" w:name="_Toc57316023"/>
      <w:r w:rsidRPr="0014375E">
        <w:t>Sikkerhetsavtaler</w:t>
      </w:r>
      <w:bookmarkEnd w:id="2"/>
      <w:bookmarkEnd w:id="3"/>
    </w:p>
    <w:p w14:paraId="0B201052" w14:textId="33D8044A" w:rsidR="00357BE5" w:rsidRDefault="00B56339" w:rsidP="00B56339">
      <w:r>
        <w:t>Det skal inngås sikkerhetsavtaler med leverandøren der dennes personell skal gis tilgang til sikkerhetsgradert informasjon,</w:t>
      </w:r>
      <w:r w:rsidR="000D4A57">
        <w:t xml:space="preserve"> skjermingsverdige informasjonssystemer,</w:t>
      </w:r>
      <w:r>
        <w:t xml:space="preserve"> skjermingsverdige objekter eller skjermingsverdig infrastruktur. </w:t>
      </w:r>
    </w:p>
    <w:p w14:paraId="14477CA7" w14:textId="77777777" w:rsidR="000D4A57" w:rsidRDefault="000D4A57" w:rsidP="000D4A57">
      <w:r>
        <w:t xml:space="preserve">Det skal som hovedregel inngås en sikkerhetsavtale for hvert enkelt avrop der avropet er en sikkerhetsgradert anskaffelse.  </w:t>
      </w:r>
    </w:p>
    <w:p w14:paraId="4D7436B8" w14:textId="77777777" w:rsidR="00B56339" w:rsidRPr="00243A88" w:rsidRDefault="00B56339" w:rsidP="00B56339">
      <w:pPr>
        <w:rPr>
          <w:b/>
        </w:rPr>
      </w:pPr>
      <w:r>
        <w:t xml:space="preserve">Sikkerhetsavtalen termineres av oppdragsgiver når avropet er avsluttet og leverandøren har tilbakelevert all skjermingsverdig informasjon. En eventuell service- og garantitid </w:t>
      </w:r>
      <w:bookmarkStart w:id="4" w:name="_GoBack"/>
      <w:bookmarkEnd w:id="4"/>
      <w:r>
        <w:t>inngår i kontraktsforholdet.</w:t>
      </w:r>
    </w:p>
    <w:p w14:paraId="6E827E17" w14:textId="434CB458" w:rsidR="00357BE5" w:rsidRDefault="00357BE5">
      <w:pPr>
        <w:rPr>
          <w:b/>
          <w:sz w:val="24"/>
          <w:szCs w:val="28"/>
        </w:rPr>
      </w:pPr>
      <w:r>
        <w:rPr>
          <w:b/>
          <w:sz w:val="24"/>
          <w:szCs w:val="28"/>
        </w:rPr>
        <w:br w:type="page"/>
      </w:r>
    </w:p>
    <w:p w14:paraId="61901737" w14:textId="2958753A" w:rsidR="002062F1" w:rsidRDefault="002062F1" w:rsidP="002062F1">
      <w:pPr>
        <w:rPr>
          <w:b/>
          <w:szCs w:val="28"/>
        </w:rPr>
      </w:pPr>
      <w:r w:rsidRPr="002062F1">
        <w:rPr>
          <w:b/>
          <w:sz w:val="22"/>
          <w:szCs w:val="28"/>
        </w:rPr>
        <w:lastRenderedPageBreak/>
        <w:t>Vedlegg</w:t>
      </w:r>
      <w:r w:rsidR="00836C22">
        <w:rPr>
          <w:b/>
          <w:sz w:val="22"/>
          <w:szCs w:val="28"/>
        </w:rPr>
        <w:t xml:space="preserve"> 7</w:t>
      </w:r>
      <w:r w:rsidRPr="002062F1">
        <w:rPr>
          <w:b/>
          <w:sz w:val="22"/>
          <w:szCs w:val="28"/>
        </w:rPr>
        <w:t xml:space="preserve"> B</w:t>
      </w:r>
    </w:p>
    <w:p w14:paraId="4683FD9E" w14:textId="51A27C87" w:rsidR="002062F1" w:rsidRPr="002062F1" w:rsidRDefault="002062F1" w:rsidP="002062F1">
      <w:pPr>
        <w:rPr>
          <w:rFonts w:asciiTheme="minorHAnsi" w:hAnsiTheme="minorHAnsi"/>
          <w:b/>
          <w:szCs w:val="28"/>
        </w:rPr>
      </w:pPr>
      <w:r w:rsidRPr="002062F1">
        <w:rPr>
          <w:b/>
          <w:szCs w:val="28"/>
        </w:rPr>
        <w:t>Orientering til leverandører om krav til håndtering og beskyttelse av skjermingsverdig informasjon i forbindelse med anskaffelser</w:t>
      </w:r>
    </w:p>
    <w:p w14:paraId="50A56D9D" w14:textId="77777777" w:rsidR="002062F1" w:rsidRDefault="002062F1" w:rsidP="002062F1">
      <w:pPr>
        <w:rPr>
          <w:b/>
          <w:sz w:val="28"/>
          <w:szCs w:val="28"/>
        </w:rPr>
      </w:pPr>
    </w:p>
    <w:sdt>
      <w:sdtPr>
        <w:rPr>
          <w:rFonts w:ascii="Arial" w:eastAsiaTheme="minorHAnsi" w:hAnsi="Arial" w:cstheme="minorBidi"/>
          <w:color w:val="auto"/>
          <w:sz w:val="20"/>
          <w:szCs w:val="22"/>
          <w:lang w:eastAsia="en-US"/>
        </w:rPr>
        <w:id w:val="695360543"/>
        <w:docPartObj>
          <w:docPartGallery w:val="Table of Contents"/>
          <w:docPartUnique/>
        </w:docPartObj>
      </w:sdtPr>
      <w:sdtEndPr>
        <w:rPr>
          <w:b/>
          <w:bCs/>
        </w:rPr>
      </w:sdtEndPr>
      <w:sdtContent>
        <w:p w14:paraId="6E2E69E4" w14:textId="1CC4CEDF" w:rsidR="00A47E58" w:rsidRPr="00A47E58" w:rsidRDefault="002062F1" w:rsidP="00A47E58">
          <w:pPr>
            <w:pStyle w:val="Overskriftforinnholdsfortegnelse"/>
            <w:spacing w:before="0"/>
            <w:rPr>
              <w:rFonts w:ascii="Arial" w:hAnsi="Arial" w:cs="Arial"/>
              <w:b/>
              <w:noProof/>
              <w:color w:val="auto"/>
              <w:sz w:val="20"/>
            </w:rPr>
          </w:pPr>
          <w:r w:rsidRPr="002062F1">
            <w:rPr>
              <w:rFonts w:ascii="Arial" w:hAnsi="Arial" w:cs="Arial"/>
              <w:b/>
              <w:color w:val="auto"/>
              <w:sz w:val="20"/>
            </w:rPr>
            <w:t>Innhold</w:t>
          </w:r>
          <w:r>
            <w:fldChar w:fldCharType="begin"/>
          </w:r>
          <w:r>
            <w:instrText xml:space="preserve"> TOC \o "1-3" \h \z \u </w:instrText>
          </w:r>
          <w:r>
            <w:fldChar w:fldCharType="separate"/>
          </w:r>
        </w:p>
        <w:p w14:paraId="05A13DE7" w14:textId="77841D01" w:rsidR="00A47E58" w:rsidRDefault="005C25E6" w:rsidP="00A47E58">
          <w:pPr>
            <w:pStyle w:val="INNH1"/>
            <w:tabs>
              <w:tab w:val="left" w:pos="400"/>
              <w:tab w:val="right" w:leader="dot" w:pos="9062"/>
            </w:tabs>
            <w:spacing w:after="0"/>
            <w:rPr>
              <w:rFonts w:asciiTheme="minorHAnsi" w:eastAsiaTheme="minorEastAsia" w:hAnsiTheme="minorHAnsi"/>
              <w:noProof/>
              <w:sz w:val="22"/>
              <w:lang w:eastAsia="nb-NO"/>
            </w:rPr>
          </w:pPr>
          <w:hyperlink w:anchor="_Toc57316024" w:history="1">
            <w:r w:rsidR="00A47E58" w:rsidRPr="00FF37B3">
              <w:rPr>
                <w:rStyle w:val="Hyperkobling"/>
                <w:noProof/>
              </w:rPr>
              <w:t>1.</w:t>
            </w:r>
            <w:r w:rsidR="00A47E58">
              <w:rPr>
                <w:rFonts w:asciiTheme="minorHAnsi" w:eastAsiaTheme="minorEastAsia" w:hAnsiTheme="minorHAnsi"/>
                <w:noProof/>
                <w:sz w:val="22"/>
                <w:lang w:eastAsia="nb-NO"/>
              </w:rPr>
              <w:tab/>
            </w:r>
            <w:r w:rsidR="00A47E58" w:rsidRPr="00FF37B3">
              <w:rPr>
                <w:rStyle w:val="Hyperkobling"/>
                <w:noProof/>
              </w:rPr>
              <w:t>Innledning</w:t>
            </w:r>
            <w:r w:rsidR="00A47E58">
              <w:rPr>
                <w:noProof/>
                <w:webHidden/>
              </w:rPr>
              <w:tab/>
            </w:r>
            <w:r w:rsidR="00A47E58">
              <w:rPr>
                <w:noProof/>
                <w:webHidden/>
              </w:rPr>
              <w:fldChar w:fldCharType="begin"/>
            </w:r>
            <w:r w:rsidR="00A47E58">
              <w:rPr>
                <w:noProof/>
                <w:webHidden/>
              </w:rPr>
              <w:instrText xml:space="preserve"> PAGEREF _Toc57316024 \h </w:instrText>
            </w:r>
            <w:r w:rsidR="00A47E58">
              <w:rPr>
                <w:noProof/>
                <w:webHidden/>
              </w:rPr>
            </w:r>
            <w:r w:rsidR="00A47E58">
              <w:rPr>
                <w:noProof/>
                <w:webHidden/>
              </w:rPr>
              <w:fldChar w:fldCharType="separate"/>
            </w:r>
            <w:r w:rsidR="00A47E58">
              <w:rPr>
                <w:noProof/>
                <w:webHidden/>
              </w:rPr>
              <w:t>3</w:t>
            </w:r>
            <w:r w:rsidR="00A47E58">
              <w:rPr>
                <w:noProof/>
                <w:webHidden/>
              </w:rPr>
              <w:fldChar w:fldCharType="end"/>
            </w:r>
          </w:hyperlink>
        </w:p>
        <w:p w14:paraId="15D073F4" w14:textId="6255A604"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25" w:history="1">
            <w:r w:rsidR="00A47E58" w:rsidRPr="00FF37B3">
              <w:rPr>
                <w:rStyle w:val="Hyperkobling"/>
                <w:noProof/>
              </w:rPr>
              <w:t>1.1.</w:t>
            </w:r>
            <w:r w:rsidR="00A47E58">
              <w:rPr>
                <w:rFonts w:asciiTheme="minorHAnsi" w:eastAsiaTheme="minorEastAsia" w:hAnsiTheme="minorHAnsi"/>
                <w:noProof/>
                <w:sz w:val="22"/>
                <w:lang w:eastAsia="nb-NO"/>
              </w:rPr>
              <w:tab/>
            </w:r>
            <w:r w:rsidR="00A47E58" w:rsidRPr="00FF37B3">
              <w:rPr>
                <w:rStyle w:val="Hyperkobling"/>
                <w:noProof/>
              </w:rPr>
              <w:t>Formål</w:t>
            </w:r>
            <w:r w:rsidR="00A47E58">
              <w:rPr>
                <w:noProof/>
                <w:webHidden/>
              </w:rPr>
              <w:tab/>
            </w:r>
            <w:r w:rsidR="00A47E58">
              <w:rPr>
                <w:noProof/>
                <w:webHidden/>
              </w:rPr>
              <w:fldChar w:fldCharType="begin"/>
            </w:r>
            <w:r w:rsidR="00A47E58">
              <w:rPr>
                <w:noProof/>
                <w:webHidden/>
              </w:rPr>
              <w:instrText xml:space="preserve"> PAGEREF _Toc57316025 \h </w:instrText>
            </w:r>
            <w:r w:rsidR="00A47E58">
              <w:rPr>
                <w:noProof/>
                <w:webHidden/>
              </w:rPr>
            </w:r>
            <w:r w:rsidR="00A47E58">
              <w:rPr>
                <w:noProof/>
                <w:webHidden/>
              </w:rPr>
              <w:fldChar w:fldCharType="separate"/>
            </w:r>
            <w:r w:rsidR="00A47E58">
              <w:rPr>
                <w:noProof/>
                <w:webHidden/>
              </w:rPr>
              <w:t>3</w:t>
            </w:r>
            <w:r w:rsidR="00A47E58">
              <w:rPr>
                <w:noProof/>
                <w:webHidden/>
              </w:rPr>
              <w:fldChar w:fldCharType="end"/>
            </w:r>
          </w:hyperlink>
        </w:p>
        <w:p w14:paraId="78FD117B" w14:textId="397844CE"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26" w:history="1">
            <w:r w:rsidR="00A47E58" w:rsidRPr="00FF37B3">
              <w:rPr>
                <w:rStyle w:val="Hyperkobling"/>
                <w:noProof/>
              </w:rPr>
              <w:t>1.2.</w:t>
            </w:r>
            <w:r w:rsidR="00A47E58">
              <w:rPr>
                <w:rFonts w:asciiTheme="minorHAnsi" w:eastAsiaTheme="minorEastAsia" w:hAnsiTheme="minorHAnsi"/>
                <w:noProof/>
                <w:sz w:val="22"/>
                <w:lang w:eastAsia="nb-NO"/>
              </w:rPr>
              <w:tab/>
            </w:r>
            <w:r w:rsidR="00A47E58" w:rsidRPr="00FF37B3">
              <w:rPr>
                <w:rStyle w:val="Hyperkobling"/>
                <w:noProof/>
              </w:rPr>
              <w:t>Definisjoner</w:t>
            </w:r>
            <w:r w:rsidR="00A47E58">
              <w:rPr>
                <w:noProof/>
                <w:webHidden/>
              </w:rPr>
              <w:tab/>
            </w:r>
            <w:r w:rsidR="00A47E58">
              <w:rPr>
                <w:noProof/>
                <w:webHidden/>
              </w:rPr>
              <w:fldChar w:fldCharType="begin"/>
            </w:r>
            <w:r w:rsidR="00A47E58">
              <w:rPr>
                <w:noProof/>
                <w:webHidden/>
              </w:rPr>
              <w:instrText xml:space="preserve"> PAGEREF _Toc57316026 \h </w:instrText>
            </w:r>
            <w:r w:rsidR="00A47E58">
              <w:rPr>
                <w:noProof/>
                <w:webHidden/>
              </w:rPr>
            </w:r>
            <w:r w:rsidR="00A47E58">
              <w:rPr>
                <w:noProof/>
                <w:webHidden/>
              </w:rPr>
              <w:fldChar w:fldCharType="separate"/>
            </w:r>
            <w:r w:rsidR="00A47E58">
              <w:rPr>
                <w:noProof/>
                <w:webHidden/>
              </w:rPr>
              <w:t>3</w:t>
            </w:r>
            <w:r w:rsidR="00A47E58">
              <w:rPr>
                <w:noProof/>
                <w:webHidden/>
              </w:rPr>
              <w:fldChar w:fldCharType="end"/>
            </w:r>
          </w:hyperlink>
        </w:p>
        <w:p w14:paraId="1F94A494" w14:textId="1D6FD538"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27" w:history="1">
            <w:r w:rsidR="00A47E58" w:rsidRPr="00FF37B3">
              <w:rPr>
                <w:rStyle w:val="Hyperkobling"/>
                <w:rFonts w:cs="Calibri"/>
                <w:noProof/>
              </w:rPr>
              <w:t>1.3.</w:t>
            </w:r>
            <w:r w:rsidR="00A47E58">
              <w:rPr>
                <w:rFonts w:asciiTheme="minorHAnsi" w:eastAsiaTheme="minorEastAsia" w:hAnsiTheme="minorHAnsi"/>
                <w:noProof/>
                <w:sz w:val="22"/>
                <w:lang w:eastAsia="nb-NO"/>
              </w:rPr>
              <w:tab/>
            </w:r>
            <w:r w:rsidR="00A47E58" w:rsidRPr="00FF37B3">
              <w:rPr>
                <w:rStyle w:val="Hyperkobling"/>
                <w:noProof/>
              </w:rPr>
              <w:t>Sikkerhet i anskaffelser</w:t>
            </w:r>
            <w:r w:rsidR="00A47E58">
              <w:rPr>
                <w:noProof/>
                <w:webHidden/>
              </w:rPr>
              <w:tab/>
            </w:r>
            <w:r w:rsidR="00A47E58">
              <w:rPr>
                <w:noProof/>
                <w:webHidden/>
              </w:rPr>
              <w:fldChar w:fldCharType="begin"/>
            </w:r>
            <w:r w:rsidR="00A47E58">
              <w:rPr>
                <w:noProof/>
                <w:webHidden/>
              </w:rPr>
              <w:instrText xml:space="preserve"> PAGEREF _Toc57316027 \h </w:instrText>
            </w:r>
            <w:r w:rsidR="00A47E58">
              <w:rPr>
                <w:noProof/>
                <w:webHidden/>
              </w:rPr>
            </w:r>
            <w:r w:rsidR="00A47E58">
              <w:rPr>
                <w:noProof/>
                <w:webHidden/>
              </w:rPr>
              <w:fldChar w:fldCharType="separate"/>
            </w:r>
            <w:r w:rsidR="00A47E58">
              <w:rPr>
                <w:noProof/>
                <w:webHidden/>
              </w:rPr>
              <w:t>3</w:t>
            </w:r>
            <w:r w:rsidR="00A47E58">
              <w:rPr>
                <w:noProof/>
                <w:webHidden/>
              </w:rPr>
              <w:fldChar w:fldCharType="end"/>
            </w:r>
          </w:hyperlink>
        </w:p>
        <w:p w14:paraId="247A9636" w14:textId="2EAA5B4B"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28" w:history="1">
            <w:r w:rsidR="00A47E58" w:rsidRPr="00FF37B3">
              <w:rPr>
                <w:rStyle w:val="Hyperkobling"/>
                <w:noProof/>
              </w:rPr>
              <w:t>1.4.</w:t>
            </w:r>
            <w:r w:rsidR="00A47E58">
              <w:rPr>
                <w:rFonts w:asciiTheme="minorHAnsi" w:eastAsiaTheme="minorEastAsia" w:hAnsiTheme="minorHAnsi"/>
                <w:noProof/>
                <w:sz w:val="22"/>
                <w:lang w:eastAsia="nb-NO"/>
              </w:rPr>
              <w:tab/>
            </w:r>
            <w:r w:rsidR="00A47E58" w:rsidRPr="00FF37B3">
              <w:rPr>
                <w:rStyle w:val="Hyperkobling"/>
                <w:noProof/>
              </w:rPr>
              <w:t>Hjemmel</w:t>
            </w:r>
            <w:r w:rsidR="00A47E58">
              <w:rPr>
                <w:noProof/>
                <w:webHidden/>
              </w:rPr>
              <w:tab/>
            </w:r>
            <w:r w:rsidR="00A47E58">
              <w:rPr>
                <w:noProof/>
                <w:webHidden/>
              </w:rPr>
              <w:fldChar w:fldCharType="begin"/>
            </w:r>
            <w:r w:rsidR="00A47E58">
              <w:rPr>
                <w:noProof/>
                <w:webHidden/>
              </w:rPr>
              <w:instrText xml:space="preserve"> PAGEREF _Toc57316028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0DE1644C" w14:textId="536A5454"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29" w:history="1">
            <w:r w:rsidR="00A47E58" w:rsidRPr="00FF37B3">
              <w:rPr>
                <w:rStyle w:val="Hyperkobling"/>
                <w:noProof/>
              </w:rPr>
              <w:t>1.4.1.</w:t>
            </w:r>
            <w:r w:rsidR="00A47E58">
              <w:rPr>
                <w:rFonts w:asciiTheme="minorHAnsi" w:eastAsiaTheme="minorEastAsia" w:hAnsiTheme="minorHAnsi"/>
                <w:noProof/>
                <w:sz w:val="22"/>
                <w:lang w:eastAsia="nb-NO"/>
              </w:rPr>
              <w:tab/>
            </w:r>
            <w:r w:rsidR="00A47E58" w:rsidRPr="00FF37B3">
              <w:rPr>
                <w:rStyle w:val="Hyperkobling"/>
                <w:noProof/>
              </w:rPr>
              <w:t>Forholdet til regelverket om offentlige anskaffelser</w:t>
            </w:r>
            <w:r w:rsidR="00A47E58">
              <w:rPr>
                <w:noProof/>
                <w:webHidden/>
              </w:rPr>
              <w:tab/>
            </w:r>
            <w:r w:rsidR="00A47E58">
              <w:rPr>
                <w:noProof/>
                <w:webHidden/>
              </w:rPr>
              <w:fldChar w:fldCharType="begin"/>
            </w:r>
            <w:r w:rsidR="00A47E58">
              <w:rPr>
                <w:noProof/>
                <w:webHidden/>
              </w:rPr>
              <w:instrText xml:space="preserve"> PAGEREF _Toc57316029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1AD16073" w14:textId="65892C71"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30" w:history="1">
            <w:r w:rsidR="00A47E58" w:rsidRPr="00FF37B3">
              <w:rPr>
                <w:rStyle w:val="Hyperkobling"/>
                <w:noProof/>
              </w:rPr>
              <w:t>1.5.</w:t>
            </w:r>
            <w:r w:rsidR="00A47E58">
              <w:rPr>
                <w:rFonts w:asciiTheme="minorHAnsi" w:eastAsiaTheme="minorEastAsia" w:hAnsiTheme="minorHAnsi"/>
                <w:noProof/>
                <w:sz w:val="22"/>
                <w:lang w:eastAsia="nb-NO"/>
              </w:rPr>
              <w:tab/>
            </w:r>
            <w:r w:rsidR="00A47E58" w:rsidRPr="00FF37B3">
              <w:rPr>
                <w:rStyle w:val="Hyperkobling"/>
                <w:noProof/>
              </w:rPr>
              <w:t>Generelle krav til forebyggende sikkerhetsarbeid</w:t>
            </w:r>
            <w:r w:rsidR="00A47E58">
              <w:rPr>
                <w:noProof/>
                <w:webHidden/>
              </w:rPr>
              <w:tab/>
            </w:r>
            <w:r w:rsidR="00A47E58">
              <w:rPr>
                <w:noProof/>
                <w:webHidden/>
              </w:rPr>
              <w:fldChar w:fldCharType="begin"/>
            </w:r>
            <w:r w:rsidR="00A47E58">
              <w:rPr>
                <w:noProof/>
                <w:webHidden/>
              </w:rPr>
              <w:instrText xml:space="preserve"> PAGEREF _Toc57316030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6D6DCF07" w14:textId="3760DCA4"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31" w:history="1">
            <w:r w:rsidR="00A47E58" w:rsidRPr="00FF37B3">
              <w:rPr>
                <w:rStyle w:val="Hyperkobling"/>
                <w:noProof/>
              </w:rPr>
              <w:t>1.5.1.</w:t>
            </w:r>
            <w:r w:rsidR="00A47E58">
              <w:rPr>
                <w:rFonts w:asciiTheme="minorHAnsi" w:eastAsiaTheme="minorEastAsia" w:hAnsiTheme="minorHAnsi"/>
                <w:noProof/>
                <w:sz w:val="22"/>
                <w:lang w:eastAsia="nb-NO"/>
              </w:rPr>
              <w:tab/>
            </w:r>
            <w:r w:rsidR="00A47E58" w:rsidRPr="00FF37B3">
              <w:rPr>
                <w:rStyle w:val="Hyperkobling"/>
                <w:noProof/>
              </w:rPr>
              <w:t>Styringssystem for sikkerhet</w:t>
            </w:r>
            <w:r w:rsidR="00A47E58">
              <w:rPr>
                <w:noProof/>
                <w:webHidden/>
              </w:rPr>
              <w:tab/>
            </w:r>
            <w:r w:rsidR="00A47E58">
              <w:rPr>
                <w:noProof/>
                <w:webHidden/>
              </w:rPr>
              <w:fldChar w:fldCharType="begin"/>
            </w:r>
            <w:r w:rsidR="00A47E58">
              <w:rPr>
                <w:noProof/>
                <w:webHidden/>
              </w:rPr>
              <w:instrText xml:space="preserve"> PAGEREF _Toc57316031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28AC22AD" w14:textId="26DAD55D"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32" w:history="1">
            <w:r w:rsidR="00A47E58" w:rsidRPr="00FF37B3">
              <w:rPr>
                <w:rStyle w:val="Hyperkobling"/>
                <w:noProof/>
              </w:rPr>
              <w:t>1.5.2.</w:t>
            </w:r>
            <w:r w:rsidR="00A47E58">
              <w:rPr>
                <w:rFonts w:asciiTheme="minorHAnsi" w:eastAsiaTheme="minorEastAsia" w:hAnsiTheme="minorHAnsi"/>
                <w:noProof/>
                <w:sz w:val="22"/>
                <w:lang w:eastAsia="nb-NO"/>
              </w:rPr>
              <w:tab/>
            </w:r>
            <w:r w:rsidR="00A47E58" w:rsidRPr="00FF37B3">
              <w:rPr>
                <w:rStyle w:val="Hyperkobling"/>
                <w:noProof/>
              </w:rPr>
              <w:t>Leverandørens ansvar</w:t>
            </w:r>
            <w:r w:rsidR="00A47E58">
              <w:rPr>
                <w:noProof/>
                <w:webHidden/>
              </w:rPr>
              <w:tab/>
            </w:r>
            <w:r w:rsidR="00A47E58">
              <w:rPr>
                <w:noProof/>
                <w:webHidden/>
              </w:rPr>
              <w:fldChar w:fldCharType="begin"/>
            </w:r>
            <w:r w:rsidR="00A47E58">
              <w:rPr>
                <w:noProof/>
                <w:webHidden/>
              </w:rPr>
              <w:instrText xml:space="preserve"> PAGEREF _Toc57316032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6EBB064F" w14:textId="68C27990"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33" w:history="1">
            <w:r w:rsidR="00A47E58" w:rsidRPr="00FF37B3">
              <w:rPr>
                <w:rStyle w:val="Hyperkobling"/>
                <w:noProof/>
              </w:rPr>
              <w:t>1.5.3.</w:t>
            </w:r>
            <w:r w:rsidR="00A47E58">
              <w:rPr>
                <w:rFonts w:asciiTheme="minorHAnsi" w:eastAsiaTheme="minorEastAsia" w:hAnsiTheme="minorHAnsi"/>
                <w:noProof/>
                <w:sz w:val="22"/>
                <w:lang w:eastAsia="nb-NO"/>
              </w:rPr>
              <w:tab/>
            </w:r>
            <w:r w:rsidR="00A47E58" w:rsidRPr="00FF37B3">
              <w:rPr>
                <w:rStyle w:val="Hyperkobling"/>
                <w:noProof/>
              </w:rPr>
              <w:t>Krav om forsvarlig sikkerhetsnivå</w:t>
            </w:r>
            <w:r w:rsidR="00A47E58">
              <w:rPr>
                <w:noProof/>
                <w:webHidden/>
              </w:rPr>
              <w:tab/>
            </w:r>
            <w:r w:rsidR="00A47E58">
              <w:rPr>
                <w:noProof/>
                <w:webHidden/>
              </w:rPr>
              <w:fldChar w:fldCharType="begin"/>
            </w:r>
            <w:r w:rsidR="00A47E58">
              <w:rPr>
                <w:noProof/>
                <w:webHidden/>
              </w:rPr>
              <w:instrText xml:space="preserve"> PAGEREF _Toc57316033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17EDFF23" w14:textId="32528E46"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34" w:history="1">
            <w:r w:rsidR="00A47E58" w:rsidRPr="00FF37B3">
              <w:rPr>
                <w:rStyle w:val="Hyperkobling"/>
                <w:noProof/>
              </w:rPr>
              <w:t>1.5.4.</w:t>
            </w:r>
            <w:r w:rsidR="00A47E58">
              <w:rPr>
                <w:rFonts w:asciiTheme="minorHAnsi" w:eastAsiaTheme="minorEastAsia" w:hAnsiTheme="minorHAnsi"/>
                <w:noProof/>
                <w:sz w:val="22"/>
                <w:lang w:eastAsia="nb-NO"/>
              </w:rPr>
              <w:tab/>
            </w:r>
            <w:r w:rsidR="00A47E58" w:rsidRPr="00FF37B3">
              <w:rPr>
                <w:rStyle w:val="Hyperkobling"/>
                <w:noProof/>
              </w:rPr>
              <w:t>Utgifter til oppfyllelse av sikkerhetskrav</w:t>
            </w:r>
            <w:r w:rsidR="00A47E58">
              <w:rPr>
                <w:noProof/>
                <w:webHidden/>
              </w:rPr>
              <w:tab/>
            </w:r>
            <w:r w:rsidR="00A47E58">
              <w:rPr>
                <w:noProof/>
                <w:webHidden/>
              </w:rPr>
              <w:fldChar w:fldCharType="begin"/>
            </w:r>
            <w:r w:rsidR="00A47E58">
              <w:rPr>
                <w:noProof/>
                <w:webHidden/>
              </w:rPr>
              <w:instrText xml:space="preserve"> PAGEREF _Toc57316034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20618DB3" w14:textId="510F22A5"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35" w:history="1">
            <w:r w:rsidR="00A47E58" w:rsidRPr="00FF37B3">
              <w:rPr>
                <w:rStyle w:val="Hyperkobling"/>
                <w:noProof/>
              </w:rPr>
              <w:t>1.5.5.</w:t>
            </w:r>
            <w:r w:rsidR="00A47E58">
              <w:rPr>
                <w:rFonts w:asciiTheme="minorHAnsi" w:eastAsiaTheme="minorEastAsia" w:hAnsiTheme="minorHAnsi"/>
                <w:noProof/>
                <w:sz w:val="22"/>
                <w:lang w:eastAsia="nb-NO"/>
              </w:rPr>
              <w:tab/>
            </w:r>
            <w:r w:rsidR="00A47E58" w:rsidRPr="00FF37B3">
              <w:rPr>
                <w:rStyle w:val="Hyperkobling"/>
                <w:noProof/>
              </w:rPr>
              <w:t>Brudd på sikkerhetskrav</w:t>
            </w:r>
            <w:r w:rsidR="00A47E58">
              <w:rPr>
                <w:noProof/>
                <w:webHidden/>
              </w:rPr>
              <w:tab/>
            </w:r>
            <w:r w:rsidR="00A47E58">
              <w:rPr>
                <w:noProof/>
                <w:webHidden/>
              </w:rPr>
              <w:fldChar w:fldCharType="begin"/>
            </w:r>
            <w:r w:rsidR="00A47E58">
              <w:rPr>
                <w:noProof/>
                <w:webHidden/>
              </w:rPr>
              <w:instrText xml:space="preserve"> PAGEREF _Toc57316035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5985D767" w14:textId="39209487" w:rsidR="00A47E58" w:rsidRDefault="005C25E6" w:rsidP="00A47E58">
          <w:pPr>
            <w:pStyle w:val="INNH1"/>
            <w:tabs>
              <w:tab w:val="left" w:pos="400"/>
              <w:tab w:val="right" w:leader="dot" w:pos="9062"/>
            </w:tabs>
            <w:spacing w:after="0"/>
            <w:rPr>
              <w:rFonts w:asciiTheme="minorHAnsi" w:eastAsiaTheme="minorEastAsia" w:hAnsiTheme="minorHAnsi"/>
              <w:noProof/>
              <w:sz w:val="22"/>
              <w:lang w:eastAsia="nb-NO"/>
            </w:rPr>
          </w:pPr>
          <w:hyperlink w:anchor="_Toc57316036" w:history="1">
            <w:r w:rsidR="00A47E58" w:rsidRPr="00FF37B3">
              <w:rPr>
                <w:rStyle w:val="Hyperkobling"/>
                <w:noProof/>
              </w:rPr>
              <w:t>2.</w:t>
            </w:r>
            <w:r w:rsidR="00A47E58">
              <w:rPr>
                <w:rFonts w:asciiTheme="minorHAnsi" w:eastAsiaTheme="minorEastAsia" w:hAnsiTheme="minorHAnsi"/>
                <w:noProof/>
                <w:sz w:val="22"/>
                <w:lang w:eastAsia="nb-NO"/>
              </w:rPr>
              <w:tab/>
            </w:r>
            <w:r w:rsidR="00A47E58" w:rsidRPr="00FF37B3">
              <w:rPr>
                <w:rStyle w:val="Hyperkobling"/>
                <w:noProof/>
              </w:rPr>
              <w:t>Anskaffelser på skjermingsverdig ugradert nivå</w:t>
            </w:r>
            <w:r w:rsidR="00A47E58">
              <w:rPr>
                <w:noProof/>
                <w:webHidden/>
              </w:rPr>
              <w:tab/>
            </w:r>
            <w:r w:rsidR="00A47E58">
              <w:rPr>
                <w:noProof/>
                <w:webHidden/>
              </w:rPr>
              <w:fldChar w:fldCharType="begin"/>
            </w:r>
            <w:r w:rsidR="00A47E58">
              <w:rPr>
                <w:noProof/>
                <w:webHidden/>
              </w:rPr>
              <w:instrText xml:space="preserve"> PAGEREF _Toc57316036 \h </w:instrText>
            </w:r>
            <w:r w:rsidR="00A47E58">
              <w:rPr>
                <w:noProof/>
                <w:webHidden/>
              </w:rPr>
            </w:r>
            <w:r w:rsidR="00A47E58">
              <w:rPr>
                <w:noProof/>
                <w:webHidden/>
              </w:rPr>
              <w:fldChar w:fldCharType="separate"/>
            </w:r>
            <w:r w:rsidR="00A47E58">
              <w:rPr>
                <w:noProof/>
                <w:webHidden/>
              </w:rPr>
              <w:t>4</w:t>
            </w:r>
            <w:r w:rsidR="00A47E58">
              <w:rPr>
                <w:noProof/>
                <w:webHidden/>
              </w:rPr>
              <w:fldChar w:fldCharType="end"/>
            </w:r>
          </w:hyperlink>
        </w:p>
        <w:p w14:paraId="7EA58047" w14:textId="3498758A"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37" w:history="1">
            <w:r w:rsidR="00A47E58" w:rsidRPr="00FF37B3">
              <w:rPr>
                <w:rStyle w:val="Hyperkobling"/>
                <w:noProof/>
              </w:rPr>
              <w:t>2.1.</w:t>
            </w:r>
            <w:r w:rsidR="00A47E58">
              <w:rPr>
                <w:rFonts w:asciiTheme="minorHAnsi" w:eastAsiaTheme="minorEastAsia" w:hAnsiTheme="minorHAnsi"/>
                <w:noProof/>
                <w:sz w:val="22"/>
                <w:lang w:eastAsia="nb-NO"/>
              </w:rPr>
              <w:tab/>
            </w:r>
            <w:r w:rsidR="00A47E58" w:rsidRPr="00FF37B3">
              <w:rPr>
                <w:rStyle w:val="Hyperkobling"/>
                <w:noProof/>
              </w:rPr>
              <w:t>Veiledere</w:t>
            </w:r>
            <w:r w:rsidR="00A47E58">
              <w:rPr>
                <w:noProof/>
                <w:webHidden/>
              </w:rPr>
              <w:tab/>
            </w:r>
            <w:r w:rsidR="00A47E58">
              <w:rPr>
                <w:noProof/>
                <w:webHidden/>
              </w:rPr>
              <w:fldChar w:fldCharType="begin"/>
            </w:r>
            <w:r w:rsidR="00A47E58">
              <w:rPr>
                <w:noProof/>
                <w:webHidden/>
              </w:rPr>
              <w:instrText xml:space="preserve"> PAGEREF _Toc57316037 \h </w:instrText>
            </w:r>
            <w:r w:rsidR="00A47E58">
              <w:rPr>
                <w:noProof/>
                <w:webHidden/>
              </w:rPr>
            </w:r>
            <w:r w:rsidR="00A47E58">
              <w:rPr>
                <w:noProof/>
                <w:webHidden/>
              </w:rPr>
              <w:fldChar w:fldCharType="separate"/>
            </w:r>
            <w:r w:rsidR="00A47E58">
              <w:rPr>
                <w:noProof/>
                <w:webHidden/>
              </w:rPr>
              <w:t>5</w:t>
            </w:r>
            <w:r w:rsidR="00A47E58">
              <w:rPr>
                <w:noProof/>
                <w:webHidden/>
              </w:rPr>
              <w:fldChar w:fldCharType="end"/>
            </w:r>
          </w:hyperlink>
        </w:p>
        <w:p w14:paraId="2E371948" w14:textId="1496349B" w:rsidR="00A47E58" w:rsidRDefault="005C25E6" w:rsidP="00A47E58">
          <w:pPr>
            <w:pStyle w:val="INNH1"/>
            <w:tabs>
              <w:tab w:val="left" w:pos="400"/>
              <w:tab w:val="right" w:leader="dot" w:pos="9062"/>
            </w:tabs>
            <w:spacing w:after="0"/>
            <w:rPr>
              <w:rFonts w:asciiTheme="minorHAnsi" w:eastAsiaTheme="minorEastAsia" w:hAnsiTheme="minorHAnsi"/>
              <w:noProof/>
              <w:sz w:val="22"/>
              <w:lang w:eastAsia="nb-NO"/>
            </w:rPr>
          </w:pPr>
          <w:hyperlink w:anchor="_Toc57316038" w:history="1">
            <w:r w:rsidR="00A47E58" w:rsidRPr="00FF37B3">
              <w:rPr>
                <w:rStyle w:val="Hyperkobling"/>
                <w:noProof/>
              </w:rPr>
              <w:t>3.</w:t>
            </w:r>
            <w:r w:rsidR="00A47E58">
              <w:rPr>
                <w:rFonts w:asciiTheme="minorHAnsi" w:eastAsiaTheme="minorEastAsia" w:hAnsiTheme="minorHAnsi"/>
                <w:noProof/>
                <w:sz w:val="22"/>
                <w:lang w:eastAsia="nb-NO"/>
              </w:rPr>
              <w:tab/>
            </w:r>
            <w:r w:rsidR="00A47E58" w:rsidRPr="00FF37B3">
              <w:rPr>
                <w:rStyle w:val="Hyperkobling"/>
                <w:noProof/>
              </w:rPr>
              <w:t>Sikkerhetsgraderte anskaffelser</w:t>
            </w:r>
            <w:r w:rsidR="00A47E58">
              <w:rPr>
                <w:noProof/>
                <w:webHidden/>
              </w:rPr>
              <w:tab/>
            </w:r>
            <w:r w:rsidR="00A47E58">
              <w:rPr>
                <w:noProof/>
                <w:webHidden/>
              </w:rPr>
              <w:fldChar w:fldCharType="begin"/>
            </w:r>
            <w:r w:rsidR="00A47E58">
              <w:rPr>
                <w:noProof/>
                <w:webHidden/>
              </w:rPr>
              <w:instrText xml:space="preserve"> PAGEREF _Toc57316038 \h </w:instrText>
            </w:r>
            <w:r w:rsidR="00A47E58">
              <w:rPr>
                <w:noProof/>
                <w:webHidden/>
              </w:rPr>
            </w:r>
            <w:r w:rsidR="00A47E58">
              <w:rPr>
                <w:noProof/>
                <w:webHidden/>
              </w:rPr>
              <w:fldChar w:fldCharType="separate"/>
            </w:r>
            <w:r w:rsidR="00A47E58">
              <w:rPr>
                <w:noProof/>
                <w:webHidden/>
              </w:rPr>
              <w:t>5</w:t>
            </w:r>
            <w:r w:rsidR="00A47E58">
              <w:rPr>
                <w:noProof/>
                <w:webHidden/>
              </w:rPr>
              <w:fldChar w:fldCharType="end"/>
            </w:r>
          </w:hyperlink>
        </w:p>
        <w:p w14:paraId="12D1B1CE" w14:textId="2AAF900A" w:rsidR="00A47E58" w:rsidRDefault="005C25E6" w:rsidP="00A47E58">
          <w:pPr>
            <w:pStyle w:val="INNH1"/>
            <w:tabs>
              <w:tab w:val="left" w:pos="400"/>
              <w:tab w:val="right" w:leader="dot" w:pos="9062"/>
            </w:tabs>
            <w:spacing w:after="0"/>
            <w:rPr>
              <w:rFonts w:asciiTheme="minorHAnsi" w:eastAsiaTheme="minorEastAsia" w:hAnsiTheme="minorHAnsi"/>
              <w:noProof/>
              <w:sz w:val="22"/>
              <w:lang w:eastAsia="nb-NO"/>
            </w:rPr>
          </w:pPr>
          <w:hyperlink w:anchor="_Toc57316039" w:history="1">
            <w:r w:rsidR="00A47E58" w:rsidRPr="00FF37B3">
              <w:rPr>
                <w:rStyle w:val="Hyperkobling"/>
                <w:noProof/>
              </w:rPr>
              <w:t>4.</w:t>
            </w:r>
            <w:r w:rsidR="00A47E58">
              <w:rPr>
                <w:rFonts w:asciiTheme="minorHAnsi" w:eastAsiaTheme="minorEastAsia" w:hAnsiTheme="minorHAnsi"/>
                <w:noProof/>
                <w:sz w:val="22"/>
                <w:lang w:eastAsia="nb-NO"/>
              </w:rPr>
              <w:tab/>
            </w:r>
            <w:r w:rsidR="00A47E58" w:rsidRPr="00FF37B3">
              <w:rPr>
                <w:rStyle w:val="Hyperkobling"/>
                <w:noProof/>
              </w:rPr>
              <w:t>Sikkerhetsgraderte anskaffelser på BEGRENSET nivå</w:t>
            </w:r>
            <w:r w:rsidR="00A47E58">
              <w:rPr>
                <w:noProof/>
                <w:webHidden/>
              </w:rPr>
              <w:tab/>
            </w:r>
            <w:r w:rsidR="00A47E58">
              <w:rPr>
                <w:noProof/>
                <w:webHidden/>
              </w:rPr>
              <w:fldChar w:fldCharType="begin"/>
            </w:r>
            <w:r w:rsidR="00A47E58">
              <w:rPr>
                <w:noProof/>
                <w:webHidden/>
              </w:rPr>
              <w:instrText xml:space="preserve"> PAGEREF _Toc57316039 \h </w:instrText>
            </w:r>
            <w:r w:rsidR="00A47E58">
              <w:rPr>
                <w:noProof/>
                <w:webHidden/>
              </w:rPr>
            </w:r>
            <w:r w:rsidR="00A47E58">
              <w:rPr>
                <w:noProof/>
                <w:webHidden/>
              </w:rPr>
              <w:fldChar w:fldCharType="separate"/>
            </w:r>
            <w:r w:rsidR="00A47E58">
              <w:rPr>
                <w:noProof/>
                <w:webHidden/>
              </w:rPr>
              <w:t>5</w:t>
            </w:r>
            <w:r w:rsidR="00A47E58">
              <w:rPr>
                <w:noProof/>
                <w:webHidden/>
              </w:rPr>
              <w:fldChar w:fldCharType="end"/>
            </w:r>
          </w:hyperlink>
        </w:p>
        <w:p w14:paraId="119EECBA" w14:textId="2217F41B"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40" w:history="1">
            <w:r w:rsidR="00A47E58" w:rsidRPr="00FF37B3">
              <w:rPr>
                <w:rStyle w:val="Hyperkobling"/>
                <w:noProof/>
              </w:rPr>
              <w:t>4.1.</w:t>
            </w:r>
            <w:r w:rsidR="00A47E58">
              <w:rPr>
                <w:rFonts w:asciiTheme="minorHAnsi" w:eastAsiaTheme="minorEastAsia" w:hAnsiTheme="minorHAnsi"/>
                <w:noProof/>
                <w:sz w:val="22"/>
                <w:lang w:eastAsia="nb-NO"/>
              </w:rPr>
              <w:tab/>
            </w:r>
            <w:r w:rsidR="00A47E58" w:rsidRPr="00FF37B3">
              <w:rPr>
                <w:rStyle w:val="Hyperkobling"/>
                <w:noProof/>
              </w:rPr>
              <w:t>Forsvarlig sikkerhetsnivå for informasjon som er gradert BEGRENSET</w:t>
            </w:r>
            <w:r w:rsidR="00A47E58">
              <w:rPr>
                <w:noProof/>
                <w:webHidden/>
              </w:rPr>
              <w:tab/>
            </w:r>
            <w:r w:rsidR="00A47E58">
              <w:rPr>
                <w:noProof/>
                <w:webHidden/>
              </w:rPr>
              <w:fldChar w:fldCharType="begin"/>
            </w:r>
            <w:r w:rsidR="00A47E58">
              <w:rPr>
                <w:noProof/>
                <w:webHidden/>
              </w:rPr>
              <w:instrText xml:space="preserve"> PAGEREF _Toc57316040 \h </w:instrText>
            </w:r>
            <w:r w:rsidR="00A47E58">
              <w:rPr>
                <w:noProof/>
                <w:webHidden/>
              </w:rPr>
            </w:r>
            <w:r w:rsidR="00A47E58">
              <w:rPr>
                <w:noProof/>
                <w:webHidden/>
              </w:rPr>
              <w:fldChar w:fldCharType="separate"/>
            </w:r>
            <w:r w:rsidR="00A47E58">
              <w:rPr>
                <w:noProof/>
                <w:webHidden/>
              </w:rPr>
              <w:t>5</w:t>
            </w:r>
            <w:r w:rsidR="00A47E58">
              <w:rPr>
                <w:noProof/>
                <w:webHidden/>
              </w:rPr>
              <w:fldChar w:fldCharType="end"/>
            </w:r>
          </w:hyperlink>
        </w:p>
        <w:p w14:paraId="18EC5A96" w14:textId="6DCA0A0F"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1" w:history="1">
            <w:r w:rsidR="00A47E58" w:rsidRPr="00FF37B3">
              <w:rPr>
                <w:rStyle w:val="Hyperkobling"/>
                <w:noProof/>
              </w:rPr>
              <w:t>4.1.1.</w:t>
            </w:r>
            <w:r w:rsidR="00A47E58">
              <w:rPr>
                <w:rFonts w:asciiTheme="minorHAnsi" w:eastAsiaTheme="minorEastAsia" w:hAnsiTheme="minorHAnsi"/>
                <w:noProof/>
                <w:sz w:val="22"/>
                <w:lang w:eastAsia="nb-NO"/>
              </w:rPr>
              <w:tab/>
            </w:r>
            <w:r w:rsidR="00A47E58" w:rsidRPr="00FF37B3">
              <w:rPr>
                <w:rStyle w:val="Hyperkobling"/>
                <w:noProof/>
              </w:rPr>
              <w:t>Autorisasjon</w:t>
            </w:r>
            <w:r w:rsidR="00A47E58">
              <w:rPr>
                <w:noProof/>
                <w:webHidden/>
              </w:rPr>
              <w:tab/>
            </w:r>
            <w:r w:rsidR="00A47E58">
              <w:rPr>
                <w:noProof/>
                <w:webHidden/>
              </w:rPr>
              <w:fldChar w:fldCharType="begin"/>
            </w:r>
            <w:r w:rsidR="00A47E58">
              <w:rPr>
                <w:noProof/>
                <w:webHidden/>
              </w:rPr>
              <w:instrText xml:space="preserve"> PAGEREF _Toc57316041 \h </w:instrText>
            </w:r>
            <w:r w:rsidR="00A47E58">
              <w:rPr>
                <w:noProof/>
                <w:webHidden/>
              </w:rPr>
            </w:r>
            <w:r w:rsidR="00A47E58">
              <w:rPr>
                <w:noProof/>
                <w:webHidden/>
              </w:rPr>
              <w:fldChar w:fldCharType="separate"/>
            </w:r>
            <w:r w:rsidR="00A47E58">
              <w:rPr>
                <w:noProof/>
                <w:webHidden/>
              </w:rPr>
              <w:t>5</w:t>
            </w:r>
            <w:r w:rsidR="00A47E58">
              <w:rPr>
                <w:noProof/>
                <w:webHidden/>
              </w:rPr>
              <w:fldChar w:fldCharType="end"/>
            </w:r>
          </w:hyperlink>
        </w:p>
        <w:p w14:paraId="3E5BFD1E" w14:textId="02B7DBE7"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2" w:history="1">
            <w:r w:rsidR="00A47E58" w:rsidRPr="00FF37B3">
              <w:rPr>
                <w:rStyle w:val="Hyperkobling"/>
                <w:noProof/>
              </w:rPr>
              <w:t>4.1.2.</w:t>
            </w:r>
            <w:r w:rsidR="00A47E58">
              <w:rPr>
                <w:rFonts w:asciiTheme="minorHAnsi" w:eastAsiaTheme="minorEastAsia" w:hAnsiTheme="minorHAnsi"/>
                <w:noProof/>
                <w:sz w:val="22"/>
                <w:lang w:eastAsia="nb-NO"/>
              </w:rPr>
              <w:tab/>
            </w:r>
            <w:r w:rsidR="00A47E58" w:rsidRPr="00FF37B3">
              <w:rPr>
                <w:rStyle w:val="Hyperkobling"/>
                <w:noProof/>
              </w:rPr>
              <w:t>Autorisasjon av utenlandsk statsborger</w:t>
            </w:r>
            <w:r w:rsidR="00A47E58">
              <w:rPr>
                <w:noProof/>
                <w:webHidden/>
              </w:rPr>
              <w:tab/>
            </w:r>
            <w:r w:rsidR="00A47E58">
              <w:rPr>
                <w:noProof/>
                <w:webHidden/>
              </w:rPr>
              <w:fldChar w:fldCharType="begin"/>
            </w:r>
            <w:r w:rsidR="00A47E58">
              <w:rPr>
                <w:noProof/>
                <w:webHidden/>
              </w:rPr>
              <w:instrText xml:space="preserve"> PAGEREF _Toc57316042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6A0A2C75" w14:textId="46D7C34B"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3" w:history="1">
            <w:r w:rsidR="00A47E58" w:rsidRPr="00FF37B3">
              <w:rPr>
                <w:rStyle w:val="Hyperkobling"/>
                <w:noProof/>
              </w:rPr>
              <w:t>4.1.3.</w:t>
            </w:r>
            <w:r w:rsidR="00A47E58">
              <w:rPr>
                <w:rFonts w:asciiTheme="minorHAnsi" w:eastAsiaTheme="minorEastAsia" w:hAnsiTheme="minorHAnsi"/>
                <w:noProof/>
                <w:sz w:val="22"/>
                <w:lang w:eastAsia="nb-NO"/>
              </w:rPr>
              <w:tab/>
            </w:r>
            <w:r w:rsidR="00A47E58" w:rsidRPr="00FF37B3">
              <w:rPr>
                <w:rStyle w:val="Hyperkobling"/>
                <w:noProof/>
              </w:rPr>
              <w:t>Beskyttelse av skjermingsverdige informasjonssystemer</w:t>
            </w:r>
            <w:r w:rsidR="00A47E58">
              <w:rPr>
                <w:noProof/>
                <w:webHidden/>
              </w:rPr>
              <w:tab/>
            </w:r>
            <w:r w:rsidR="00A47E58">
              <w:rPr>
                <w:noProof/>
                <w:webHidden/>
              </w:rPr>
              <w:fldChar w:fldCharType="begin"/>
            </w:r>
            <w:r w:rsidR="00A47E58">
              <w:rPr>
                <w:noProof/>
                <w:webHidden/>
              </w:rPr>
              <w:instrText xml:space="preserve"> PAGEREF _Toc57316043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23586610" w14:textId="6FF258A2"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4" w:history="1">
            <w:r w:rsidR="00A47E58" w:rsidRPr="00FF37B3">
              <w:rPr>
                <w:rStyle w:val="Hyperkobling"/>
                <w:noProof/>
              </w:rPr>
              <w:t>4.1.4.</w:t>
            </w:r>
            <w:r w:rsidR="00A47E58">
              <w:rPr>
                <w:rFonts w:asciiTheme="minorHAnsi" w:eastAsiaTheme="minorEastAsia" w:hAnsiTheme="minorHAnsi"/>
                <w:noProof/>
                <w:sz w:val="22"/>
                <w:lang w:eastAsia="nb-NO"/>
              </w:rPr>
              <w:tab/>
            </w:r>
            <w:r w:rsidR="00A47E58" w:rsidRPr="00FF37B3">
              <w:rPr>
                <w:rStyle w:val="Hyperkobling"/>
                <w:noProof/>
              </w:rPr>
              <w:t>Dokumentasjon av at kravet til forsvarlig sikkerhetsnivå er oppnådd</w:t>
            </w:r>
            <w:r w:rsidR="00A47E58">
              <w:rPr>
                <w:noProof/>
                <w:webHidden/>
              </w:rPr>
              <w:tab/>
            </w:r>
            <w:r w:rsidR="00A47E58">
              <w:rPr>
                <w:noProof/>
                <w:webHidden/>
              </w:rPr>
              <w:fldChar w:fldCharType="begin"/>
            </w:r>
            <w:r w:rsidR="00A47E58">
              <w:rPr>
                <w:noProof/>
                <w:webHidden/>
              </w:rPr>
              <w:instrText xml:space="preserve"> PAGEREF _Toc57316044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11503A53" w14:textId="75B98C8E"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5" w:history="1">
            <w:r w:rsidR="00A47E58" w:rsidRPr="00FF37B3">
              <w:rPr>
                <w:rStyle w:val="Hyperkobling"/>
                <w:noProof/>
              </w:rPr>
              <w:t>4.1.5.</w:t>
            </w:r>
            <w:r w:rsidR="00A47E58">
              <w:rPr>
                <w:rFonts w:asciiTheme="minorHAnsi" w:eastAsiaTheme="minorEastAsia" w:hAnsiTheme="minorHAnsi"/>
                <w:noProof/>
                <w:sz w:val="22"/>
                <w:lang w:eastAsia="nb-NO"/>
              </w:rPr>
              <w:tab/>
            </w:r>
            <w:r w:rsidR="00A47E58" w:rsidRPr="00FF37B3">
              <w:rPr>
                <w:rStyle w:val="Hyperkobling"/>
                <w:noProof/>
              </w:rPr>
              <w:t>Leverandørklarering</w:t>
            </w:r>
            <w:r w:rsidR="00A47E58">
              <w:rPr>
                <w:noProof/>
                <w:webHidden/>
              </w:rPr>
              <w:tab/>
            </w:r>
            <w:r w:rsidR="00A47E58">
              <w:rPr>
                <w:noProof/>
                <w:webHidden/>
              </w:rPr>
              <w:fldChar w:fldCharType="begin"/>
            </w:r>
            <w:r w:rsidR="00A47E58">
              <w:rPr>
                <w:noProof/>
                <w:webHidden/>
              </w:rPr>
              <w:instrText xml:space="preserve"> PAGEREF _Toc57316045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4DDA32B5" w14:textId="6B1CFABF"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46" w:history="1">
            <w:r w:rsidR="00A47E58" w:rsidRPr="00FF37B3">
              <w:rPr>
                <w:rStyle w:val="Hyperkobling"/>
                <w:noProof/>
              </w:rPr>
              <w:t>4.2.</w:t>
            </w:r>
            <w:r w:rsidR="00A47E58">
              <w:rPr>
                <w:rFonts w:asciiTheme="minorHAnsi" w:eastAsiaTheme="minorEastAsia" w:hAnsiTheme="minorHAnsi"/>
                <w:noProof/>
                <w:sz w:val="22"/>
                <w:lang w:eastAsia="nb-NO"/>
              </w:rPr>
              <w:tab/>
            </w:r>
            <w:r w:rsidR="00A47E58" w:rsidRPr="00FF37B3">
              <w:rPr>
                <w:rStyle w:val="Hyperkobling"/>
                <w:noProof/>
              </w:rPr>
              <w:t>Inngåelse av sikkerhetsavtale på BEGRENSET nivå</w:t>
            </w:r>
            <w:r w:rsidR="00A47E58">
              <w:rPr>
                <w:noProof/>
                <w:webHidden/>
              </w:rPr>
              <w:tab/>
            </w:r>
            <w:r w:rsidR="00A47E58">
              <w:rPr>
                <w:noProof/>
                <w:webHidden/>
              </w:rPr>
              <w:fldChar w:fldCharType="begin"/>
            </w:r>
            <w:r w:rsidR="00A47E58">
              <w:rPr>
                <w:noProof/>
                <w:webHidden/>
              </w:rPr>
              <w:instrText xml:space="preserve"> PAGEREF _Toc57316046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46D81834" w14:textId="29DE2ECF"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7" w:history="1">
            <w:r w:rsidR="00A47E58" w:rsidRPr="00FF37B3">
              <w:rPr>
                <w:rStyle w:val="Hyperkobling"/>
                <w:noProof/>
              </w:rPr>
              <w:t>4.2.1.</w:t>
            </w:r>
            <w:r w:rsidR="00A47E58">
              <w:rPr>
                <w:rFonts w:asciiTheme="minorHAnsi" w:eastAsiaTheme="minorEastAsia" w:hAnsiTheme="minorHAnsi"/>
                <w:noProof/>
                <w:sz w:val="22"/>
                <w:lang w:eastAsia="nb-NO"/>
              </w:rPr>
              <w:tab/>
            </w:r>
            <w:r w:rsidR="00A47E58" w:rsidRPr="00FF37B3">
              <w:rPr>
                <w:rStyle w:val="Hyperkobling"/>
                <w:noProof/>
              </w:rPr>
              <w:t>Unntak fra krav om sikkerhetsavtale</w:t>
            </w:r>
            <w:r w:rsidR="00A47E58">
              <w:rPr>
                <w:noProof/>
                <w:webHidden/>
              </w:rPr>
              <w:tab/>
            </w:r>
            <w:r w:rsidR="00A47E58">
              <w:rPr>
                <w:noProof/>
                <w:webHidden/>
              </w:rPr>
              <w:fldChar w:fldCharType="begin"/>
            </w:r>
            <w:r w:rsidR="00A47E58">
              <w:rPr>
                <w:noProof/>
                <w:webHidden/>
              </w:rPr>
              <w:instrText xml:space="preserve"> PAGEREF _Toc57316047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6B25638C" w14:textId="360A979C"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8" w:history="1">
            <w:r w:rsidR="00A47E58" w:rsidRPr="00FF37B3">
              <w:rPr>
                <w:rStyle w:val="Hyperkobling"/>
                <w:noProof/>
              </w:rPr>
              <w:t>4.2.2.</w:t>
            </w:r>
            <w:r w:rsidR="00A47E58">
              <w:rPr>
                <w:rFonts w:asciiTheme="minorHAnsi" w:eastAsiaTheme="minorEastAsia" w:hAnsiTheme="minorHAnsi"/>
                <w:noProof/>
                <w:sz w:val="22"/>
                <w:lang w:eastAsia="nb-NO"/>
              </w:rPr>
              <w:tab/>
            </w:r>
            <w:r w:rsidR="00A47E58" w:rsidRPr="00FF37B3">
              <w:rPr>
                <w:rStyle w:val="Hyperkobling"/>
                <w:noProof/>
              </w:rPr>
              <w:t>Innholdet i sikkerhetsavtalen</w:t>
            </w:r>
            <w:r w:rsidR="00A47E58">
              <w:rPr>
                <w:noProof/>
                <w:webHidden/>
              </w:rPr>
              <w:tab/>
            </w:r>
            <w:r w:rsidR="00A47E58">
              <w:rPr>
                <w:noProof/>
                <w:webHidden/>
              </w:rPr>
              <w:fldChar w:fldCharType="begin"/>
            </w:r>
            <w:r w:rsidR="00A47E58">
              <w:rPr>
                <w:noProof/>
                <w:webHidden/>
              </w:rPr>
              <w:instrText xml:space="preserve"> PAGEREF _Toc57316048 \h </w:instrText>
            </w:r>
            <w:r w:rsidR="00A47E58">
              <w:rPr>
                <w:noProof/>
                <w:webHidden/>
              </w:rPr>
            </w:r>
            <w:r w:rsidR="00A47E58">
              <w:rPr>
                <w:noProof/>
                <w:webHidden/>
              </w:rPr>
              <w:fldChar w:fldCharType="separate"/>
            </w:r>
            <w:r w:rsidR="00A47E58">
              <w:rPr>
                <w:noProof/>
                <w:webHidden/>
              </w:rPr>
              <w:t>6</w:t>
            </w:r>
            <w:r w:rsidR="00A47E58">
              <w:rPr>
                <w:noProof/>
                <w:webHidden/>
              </w:rPr>
              <w:fldChar w:fldCharType="end"/>
            </w:r>
          </w:hyperlink>
        </w:p>
        <w:p w14:paraId="1468D7D7" w14:textId="3D331C7C"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49" w:history="1">
            <w:r w:rsidR="00A47E58" w:rsidRPr="00FF37B3">
              <w:rPr>
                <w:rStyle w:val="Hyperkobling"/>
                <w:noProof/>
              </w:rPr>
              <w:t>4.2.3.</w:t>
            </w:r>
            <w:r w:rsidR="00A47E58">
              <w:rPr>
                <w:rFonts w:asciiTheme="minorHAnsi" w:eastAsiaTheme="minorEastAsia" w:hAnsiTheme="minorHAnsi"/>
                <w:noProof/>
                <w:sz w:val="22"/>
                <w:lang w:eastAsia="nb-NO"/>
              </w:rPr>
              <w:tab/>
            </w:r>
            <w:r w:rsidR="00A47E58" w:rsidRPr="00FF37B3">
              <w:rPr>
                <w:rStyle w:val="Hyperkobling"/>
                <w:noProof/>
              </w:rPr>
              <w:t>Brudd på sikkerhetskrav</w:t>
            </w:r>
            <w:r w:rsidR="00A47E58">
              <w:rPr>
                <w:noProof/>
                <w:webHidden/>
              </w:rPr>
              <w:tab/>
            </w:r>
            <w:r w:rsidR="00A47E58">
              <w:rPr>
                <w:noProof/>
                <w:webHidden/>
              </w:rPr>
              <w:fldChar w:fldCharType="begin"/>
            </w:r>
            <w:r w:rsidR="00A47E58">
              <w:rPr>
                <w:noProof/>
                <w:webHidden/>
              </w:rPr>
              <w:instrText xml:space="preserve"> PAGEREF _Toc57316049 \h </w:instrText>
            </w:r>
            <w:r w:rsidR="00A47E58">
              <w:rPr>
                <w:noProof/>
                <w:webHidden/>
              </w:rPr>
            </w:r>
            <w:r w:rsidR="00A47E58">
              <w:rPr>
                <w:noProof/>
                <w:webHidden/>
              </w:rPr>
              <w:fldChar w:fldCharType="separate"/>
            </w:r>
            <w:r w:rsidR="00A47E58">
              <w:rPr>
                <w:noProof/>
                <w:webHidden/>
              </w:rPr>
              <w:t>7</w:t>
            </w:r>
            <w:r w:rsidR="00A47E58">
              <w:rPr>
                <w:noProof/>
                <w:webHidden/>
              </w:rPr>
              <w:fldChar w:fldCharType="end"/>
            </w:r>
          </w:hyperlink>
        </w:p>
        <w:p w14:paraId="152D0ED4" w14:textId="49429019"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0" w:history="1">
            <w:r w:rsidR="00A47E58" w:rsidRPr="00FF37B3">
              <w:rPr>
                <w:rStyle w:val="Hyperkobling"/>
                <w:noProof/>
              </w:rPr>
              <w:t>4.2.4.</w:t>
            </w:r>
            <w:r w:rsidR="00A47E58">
              <w:rPr>
                <w:rFonts w:asciiTheme="minorHAnsi" w:eastAsiaTheme="minorEastAsia" w:hAnsiTheme="minorHAnsi"/>
                <w:noProof/>
                <w:sz w:val="22"/>
                <w:lang w:eastAsia="nb-NO"/>
              </w:rPr>
              <w:tab/>
            </w:r>
            <w:r w:rsidR="00A47E58" w:rsidRPr="00FF37B3">
              <w:rPr>
                <w:rStyle w:val="Hyperkobling"/>
                <w:noProof/>
              </w:rPr>
              <w:t>Ytterligere sikkerhetskrav</w:t>
            </w:r>
            <w:r w:rsidR="00A47E58">
              <w:rPr>
                <w:noProof/>
                <w:webHidden/>
              </w:rPr>
              <w:tab/>
            </w:r>
            <w:r w:rsidR="00A47E58">
              <w:rPr>
                <w:noProof/>
                <w:webHidden/>
              </w:rPr>
              <w:fldChar w:fldCharType="begin"/>
            </w:r>
            <w:r w:rsidR="00A47E58">
              <w:rPr>
                <w:noProof/>
                <w:webHidden/>
              </w:rPr>
              <w:instrText xml:space="preserve"> PAGEREF _Toc57316050 \h </w:instrText>
            </w:r>
            <w:r w:rsidR="00A47E58">
              <w:rPr>
                <w:noProof/>
                <w:webHidden/>
              </w:rPr>
            </w:r>
            <w:r w:rsidR="00A47E58">
              <w:rPr>
                <w:noProof/>
                <w:webHidden/>
              </w:rPr>
              <w:fldChar w:fldCharType="separate"/>
            </w:r>
            <w:r w:rsidR="00A47E58">
              <w:rPr>
                <w:noProof/>
                <w:webHidden/>
              </w:rPr>
              <w:t>7</w:t>
            </w:r>
            <w:r w:rsidR="00A47E58">
              <w:rPr>
                <w:noProof/>
                <w:webHidden/>
              </w:rPr>
              <w:fldChar w:fldCharType="end"/>
            </w:r>
          </w:hyperlink>
        </w:p>
        <w:p w14:paraId="7C9E8592" w14:textId="0168AB41"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1" w:history="1">
            <w:r w:rsidR="00A47E58" w:rsidRPr="00FF37B3">
              <w:rPr>
                <w:rStyle w:val="Hyperkobling"/>
                <w:noProof/>
              </w:rPr>
              <w:t>4.2.5.</w:t>
            </w:r>
            <w:r w:rsidR="00A47E58">
              <w:rPr>
                <w:rFonts w:asciiTheme="minorHAnsi" w:eastAsiaTheme="minorEastAsia" w:hAnsiTheme="minorHAnsi"/>
                <w:noProof/>
                <w:sz w:val="22"/>
                <w:lang w:eastAsia="nb-NO"/>
              </w:rPr>
              <w:tab/>
            </w:r>
            <w:r w:rsidR="00A47E58" w:rsidRPr="00FF37B3">
              <w:rPr>
                <w:rStyle w:val="Hyperkobling"/>
                <w:noProof/>
              </w:rPr>
              <w:t>Veiledere</w:t>
            </w:r>
            <w:r w:rsidR="00A47E58">
              <w:rPr>
                <w:noProof/>
                <w:webHidden/>
              </w:rPr>
              <w:tab/>
            </w:r>
            <w:r w:rsidR="00A47E58">
              <w:rPr>
                <w:noProof/>
                <w:webHidden/>
              </w:rPr>
              <w:fldChar w:fldCharType="begin"/>
            </w:r>
            <w:r w:rsidR="00A47E58">
              <w:rPr>
                <w:noProof/>
                <w:webHidden/>
              </w:rPr>
              <w:instrText xml:space="preserve"> PAGEREF _Toc57316051 \h </w:instrText>
            </w:r>
            <w:r w:rsidR="00A47E58">
              <w:rPr>
                <w:noProof/>
                <w:webHidden/>
              </w:rPr>
            </w:r>
            <w:r w:rsidR="00A47E58">
              <w:rPr>
                <w:noProof/>
                <w:webHidden/>
              </w:rPr>
              <w:fldChar w:fldCharType="separate"/>
            </w:r>
            <w:r w:rsidR="00A47E58">
              <w:rPr>
                <w:noProof/>
                <w:webHidden/>
              </w:rPr>
              <w:t>7</w:t>
            </w:r>
            <w:r w:rsidR="00A47E58">
              <w:rPr>
                <w:noProof/>
                <w:webHidden/>
              </w:rPr>
              <w:fldChar w:fldCharType="end"/>
            </w:r>
          </w:hyperlink>
        </w:p>
        <w:p w14:paraId="687738D5" w14:textId="3CC99B45" w:rsidR="00A47E58" w:rsidRDefault="005C25E6" w:rsidP="00A47E58">
          <w:pPr>
            <w:pStyle w:val="INNH1"/>
            <w:tabs>
              <w:tab w:val="left" w:pos="400"/>
              <w:tab w:val="right" w:leader="dot" w:pos="9062"/>
            </w:tabs>
            <w:spacing w:after="0"/>
            <w:rPr>
              <w:rFonts w:asciiTheme="minorHAnsi" w:eastAsiaTheme="minorEastAsia" w:hAnsiTheme="minorHAnsi"/>
              <w:noProof/>
              <w:sz w:val="22"/>
              <w:lang w:eastAsia="nb-NO"/>
            </w:rPr>
          </w:pPr>
          <w:hyperlink w:anchor="_Toc57316052" w:history="1">
            <w:r w:rsidR="00A47E58" w:rsidRPr="00FF37B3">
              <w:rPr>
                <w:rStyle w:val="Hyperkobling"/>
                <w:noProof/>
              </w:rPr>
              <w:t>5.</w:t>
            </w:r>
            <w:r w:rsidR="00A47E58">
              <w:rPr>
                <w:rFonts w:asciiTheme="minorHAnsi" w:eastAsiaTheme="minorEastAsia" w:hAnsiTheme="minorHAnsi"/>
                <w:noProof/>
                <w:sz w:val="22"/>
                <w:lang w:eastAsia="nb-NO"/>
              </w:rPr>
              <w:tab/>
            </w:r>
            <w:r w:rsidR="00A47E58" w:rsidRPr="00FF37B3">
              <w:rPr>
                <w:rStyle w:val="Hyperkobling"/>
                <w:noProof/>
              </w:rPr>
              <w:t>Sikkerhetsgraderte anskaffelser på KONFIDENSIELT nivå eller høyere</w:t>
            </w:r>
            <w:r w:rsidR="00A47E58">
              <w:rPr>
                <w:noProof/>
                <w:webHidden/>
              </w:rPr>
              <w:tab/>
            </w:r>
            <w:r w:rsidR="00A47E58">
              <w:rPr>
                <w:noProof/>
                <w:webHidden/>
              </w:rPr>
              <w:fldChar w:fldCharType="begin"/>
            </w:r>
            <w:r w:rsidR="00A47E58">
              <w:rPr>
                <w:noProof/>
                <w:webHidden/>
              </w:rPr>
              <w:instrText xml:space="preserve"> PAGEREF _Toc57316052 \h </w:instrText>
            </w:r>
            <w:r w:rsidR="00A47E58">
              <w:rPr>
                <w:noProof/>
                <w:webHidden/>
              </w:rPr>
            </w:r>
            <w:r w:rsidR="00A47E58">
              <w:rPr>
                <w:noProof/>
                <w:webHidden/>
              </w:rPr>
              <w:fldChar w:fldCharType="separate"/>
            </w:r>
            <w:r w:rsidR="00A47E58">
              <w:rPr>
                <w:noProof/>
                <w:webHidden/>
              </w:rPr>
              <w:t>8</w:t>
            </w:r>
            <w:r w:rsidR="00A47E58">
              <w:rPr>
                <w:noProof/>
                <w:webHidden/>
              </w:rPr>
              <w:fldChar w:fldCharType="end"/>
            </w:r>
          </w:hyperlink>
        </w:p>
        <w:p w14:paraId="40CC3AE4" w14:textId="1C34B4E2"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53" w:history="1">
            <w:r w:rsidR="00A47E58" w:rsidRPr="00FF37B3">
              <w:rPr>
                <w:rStyle w:val="Hyperkobling"/>
                <w:noProof/>
              </w:rPr>
              <w:t>5.1.</w:t>
            </w:r>
            <w:r w:rsidR="00A47E58">
              <w:rPr>
                <w:rFonts w:asciiTheme="minorHAnsi" w:eastAsiaTheme="minorEastAsia" w:hAnsiTheme="minorHAnsi"/>
                <w:noProof/>
                <w:sz w:val="22"/>
                <w:lang w:eastAsia="nb-NO"/>
              </w:rPr>
              <w:tab/>
            </w:r>
            <w:r w:rsidR="00A47E58" w:rsidRPr="00FF37B3">
              <w:rPr>
                <w:rStyle w:val="Hyperkobling"/>
                <w:noProof/>
              </w:rPr>
              <w:t>Forsvarlig sikkerhetsnivå for informasjon som er gradert KONFIDENSIELT eller høyere</w:t>
            </w:r>
            <w:r w:rsidR="00A47E58">
              <w:rPr>
                <w:noProof/>
                <w:webHidden/>
              </w:rPr>
              <w:tab/>
            </w:r>
            <w:r w:rsidR="00A47E58">
              <w:rPr>
                <w:noProof/>
                <w:webHidden/>
              </w:rPr>
              <w:fldChar w:fldCharType="begin"/>
            </w:r>
            <w:r w:rsidR="00A47E58">
              <w:rPr>
                <w:noProof/>
                <w:webHidden/>
              </w:rPr>
              <w:instrText xml:space="preserve"> PAGEREF _Toc57316053 \h </w:instrText>
            </w:r>
            <w:r w:rsidR="00A47E58">
              <w:rPr>
                <w:noProof/>
                <w:webHidden/>
              </w:rPr>
            </w:r>
            <w:r w:rsidR="00A47E58">
              <w:rPr>
                <w:noProof/>
                <w:webHidden/>
              </w:rPr>
              <w:fldChar w:fldCharType="separate"/>
            </w:r>
            <w:r w:rsidR="00A47E58">
              <w:rPr>
                <w:noProof/>
                <w:webHidden/>
              </w:rPr>
              <w:t>8</w:t>
            </w:r>
            <w:r w:rsidR="00A47E58">
              <w:rPr>
                <w:noProof/>
                <w:webHidden/>
              </w:rPr>
              <w:fldChar w:fldCharType="end"/>
            </w:r>
          </w:hyperlink>
        </w:p>
        <w:p w14:paraId="75FC0BCD" w14:textId="4100E79B"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4" w:history="1">
            <w:r w:rsidR="00A47E58" w:rsidRPr="00FF37B3">
              <w:rPr>
                <w:rStyle w:val="Hyperkobling"/>
                <w:noProof/>
              </w:rPr>
              <w:t>5.1.1.</w:t>
            </w:r>
            <w:r w:rsidR="00A47E58">
              <w:rPr>
                <w:rFonts w:asciiTheme="minorHAnsi" w:eastAsiaTheme="minorEastAsia" w:hAnsiTheme="minorHAnsi"/>
                <w:noProof/>
                <w:sz w:val="22"/>
                <w:lang w:eastAsia="nb-NO"/>
              </w:rPr>
              <w:tab/>
            </w:r>
            <w:r w:rsidR="00A47E58" w:rsidRPr="00FF37B3">
              <w:rPr>
                <w:rStyle w:val="Hyperkobling"/>
                <w:noProof/>
              </w:rPr>
              <w:t>Soneinndeling for informasjon gradert KONFIDENSIELT eller høyere</w:t>
            </w:r>
            <w:r w:rsidR="00A47E58">
              <w:rPr>
                <w:noProof/>
                <w:webHidden/>
              </w:rPr>
              <w:tab/>
            </w:r>
            <w:r w:rsidR="00A47E58">
              <w:rPr>
                <w:noProof/>
                <w:webHidden/>
              </w:rPr>
              <w:fldChar w:fldCharType="begin"/>
            </w:r>
            <w:r w:rsidR="00A47E58">
              <w:rPr>
                <w:noProof/>
                <w:webHidden/>
              </w:rPr>
              <w:instrText xml:space="preserve"> PAGEREF _Toc57316054 \h </w:instrText>
            </w:r>
            <w:r w:rsidR="00A47E58">
              <w:rPr>
                <w:noProof/>
                <w:webHidden/>
              </w:rPr>
            </w:r>
            <w:r w:rsidR="00A47E58">
              <w:rPr>
                <w:noProof/>
                <w:webHidden/>
              </w:rPr>
              <w:fldChar w:fldCharType="separate"/>
            </w:r>
            <w:r w:rsidR="00A47E58">
              <w:rPr>
                <w:noProof/>
                <w:webHidden/>
              </w:rPr>
              <w:t>8</w:t>
            </w:r>
            <w:r w:rsidR="00A47E58">
              <w:rPr>
                <w:noProof/>
                <w:webHidden/>
              </w:rPr>
              <w:fldChar w:fldCharType="end"/>
            </w:r>
          </w:hyperlink>
        </w:p>
        <w:p w14:paraId="615DA28B" w14:textId="617CCE6C"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5" w:history="1">
            <w:r w:rsidR="00A47E58" w:rsidRPr="00FF37B3">
              <w:rPr>
                <w:rStyle w:val="Hyperkobling"/>
                <w:noProof/>
              </w:rPr>
              <w:t>5.1.2.</w:t>
            </w:r>
            <w:r w:rsidR="00A47E58">
              <w:rPr>
                <w:rFonts w:asciiTheme="minorHAnsi" w:eastAsiaTheme="minorEastAsia" w:hAnsiTheme="minorHAnsi"/>
                <w:noProof/>
                <w:sz w:val="22"/>
                <w:lang w:eastAsia="nb-NO"/>
              </w:rPr>
              <w:tab/>
            </w:r>
            <w:r w:rsidR="00A47E58" w:rsidRPr="00FF37B3">
              <w:rPr>
                <w:rStyle w:val="Hyperkobling"/>
                <w:noProof/>
              </w:rPr>
              <w:t>Leverandørklarering</w:t>
            </w:r>
            <w:r w:rsidR="00A47E58">
              <w:rPr>
                <w:noProof/>
                <w:webHidden/>
              </w:rPr>
              <w:tab/>
            </w:r>
            <w:r w:rsidR="00A47E58">
              <w:rPr>
                <w:noProof/>
                <w:webHidden/>
              </w:rPr>
              <w:fldChar w:fldCharType="begin"/>
            </w:r>
            <w:r w:rsidR="00A47E58">
              <w:rPr>
                <w:noProof/>
                <w:webHidden/>
              </w:rPr>
              <w:instrText xml:space="preserve"> PAGEREF _Toc57316055 \h </w:instrText>
            </w:r>
            <w:r w:rsidR="00A47E58">
              <w:rPr>
                <w:noProof/>
                <w:webHidden/>
              </w:rPr>
            </w:r>
            <w:r w:rsidR="00A47E58">
              <w:rPr>
                <w:noProof/>
                <w:webHidden/>
              </w:rPr>
              <w:fldChar w:fldCharType="separate"/>
            </w:r>
            <w:r w:rsidR="00A47E58">
              <w:rPr>
                <w:noProof/>
                <w:webHidden/>
              </w:rPr>
              <w:t>8</w:t>
            </w:r>
            <w:r w:rsidR="00A47E58">
              <w:rPr>
                <w:noProof/>
                <w:webHidden/>
              </w:rPr>
              <w:fldChar w:fldCharType="end"/>
            </w:r>
          </w:hyperlink>
        </w:p>
        <w:p w14:paraId="60319E10" w14:textId="25112D0F"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6" w:history="1">
            <w:r w:rsidR="00A47E58" w:rsidRPr="00FF37B3">
              <w:rPr>
                <w:rStyle w:val="Hyperkobling"/>
                <w:noProof/>
              </w:rPr>
              <w:t>5.1.3.</w:t>
            </w:r>
            <w:r w:rsidR="00A47E58">
              <w:rPr>
                <w:rFonts w:asciiTheme="minorHAnsi" w:eastAsiaTheme="minorEastAsia" w:hAnsiTheme="minorHAnsi"/>
                <w:noProof/>
                <w:sz w:val="22"/>
                <w:lang w:eastAsia="nb-NO"/>
              </w:rPr>
              <w:tab/>
            </w:r>
            <w:r w:rsidR="00A47E58" w:rsidRPr="00FF37B3">
              <w:rPr>
                <w:rStyle w:val="Hyperkobling"/>
                <w:noProof/>
              </w:rPr>
              <w:t>Sikkerhetsklarering og autorisasjon av leverandørpersonell</w:t>
            </w:r>
            <w:r w:rsidR="00A47E58">
              <w:rPr>
                <w:noProof/>
                <w:webHidden/>
              </w:rPr>
              <w:tab/>
            </w:r>
            <w:r w:rsidR="00A47E58">
              <w:rPr>
                <w:noProof/>
                <w:webHidden/>
              </w:rPr>
              <w:fldChar w:fldCharType="begin"/>
            </w:r>
            <w:r w:rsidR="00A47E58">
              <w:rPr>
                <w:noProof/>
                <w:webHidden/>
              </w:rPr>
              <w:instrText xml:space="preserve"> PAGEREF _Toc57316056 \h </w:instrText>
            </w:r>
            <w:r w:rsidR="00A47E58">
              <w:rPr>
                <w:noProof/>
                <w:webHidden/>
              </w:rPr>
            </w:r>
            <w:r w:rsidR="00A47E58">
              <w:rPr>
                <w:noProof/>
                <w:webHidden/>
              </w:rPr>
              <w:fldChar w:fldCharType="separate"/>
            </w:r>
            <w:r w:rsidR="00A47E58">
              <w:rPr>
                <w:noProof/>
                <w:webHidden/>
              </w:rPr>
              <w:t>9</w:t>
            </w:r>
            <w:r w:rsidR="00A47E58">
              <w:rPr>
                <w:noProof/>
                <w:webHidden/>
              </w:rPr>
              <w:fldChar w:fldCharType="end"/>
            </w:r>
          </w:hyperlink>
        </w:p>
        <w:p w14:paraId="6A89B768" w14:textId="0675AFC9" w:rsidR="00A47E58" w:rsidRDefault="005C25E6" w:rsidP="00A47E58">
          <w:pPr>
            <w:pStyle w:val="INNH2"/>
            <w:tabs>
              <w:tab w:val="left" w:pos="880"/>
              <w:tab w:val="right" w:leader="dot" w:pos="9062"/>
            </w:tabs>
            <w:spacing w:after="0"/>
            <w:rPr>
              <w:rFonts w:asciiTheme="minorHAnsi" w:eastAsiaTheme="minorEastAsia" w:hAnsiTheme="minorHAnsi"/>
              <w:noProof/>
              <w:sz w:val="22"/>
              <w:lang w:eastAsia="nb-NO"/>
            </w:rPr>
          </w:pPr>
          <w:hyperlink w:anchor="_Toc57316057" w:history="1">
            <w:r w:rsidR="00A47E58" w:rsidRPr="00FF37B3">
              <w:rPr>
                <w:rStyle w:val="Hyperkobling"/>
                <w:noProof/>
              </w:rPr>
              <w:t>5.2.</w:t>
            </w:r>
            <w:r w:rsidR="00A47E58">
              <w:rPr>
                <w:rFonts w:asciiTheme="minorHAnsi" w:eastAsiaTheme="minorEastAsia" w:hAnsiTheme="minorHAnsi"/>
                <w:noProof/>
                <w:sz w:val="22"/>
                <w:lang w:eastAsia="nb-NO"/>
              </w:rPr>
              <w:tab/>
            </w:r>
            <w:r w:rsidR="00A47E58" w:rsidRPr="00FF37B3">
              <w:rPr>
                <w:rStyle w:val="Hyperkobling"/>
                <w:noProof/>
              </w:rPr>
              <w:t>Inngåelse av sikkerhetsavtale på KONFIDENSIELT nivå eller høyere</w:t>
            </w:r>
            <w:r w:rsidR="00A47E58">
              <w:rPr>
                <w:noProof/>
                <w:webHidden/>
              </w:rPr>
              <w:tab/>
            </w:r>
            <w:r w:rsidR="00A47E58">
              <w:rPr>
                <w:noProof/>
                <w:webHidden/>
              </w:rPr>
              <w:fldChar w:fldCharType="begin"/>
            </w:r>
            <w:r w:rsidR="00A47E58">
              <w:rPr>
                <w:noProof/>
                <w:webHidden/>
              </w:rPr>
              <w:instrText xml:space="preserve"> PAGEREF _Toc57316057 \h </w:instrText>
            </w:r>
            <w:r w:rsidR="00A47E58">
              <w:rPr>
                <w:noProof/>
                <w:webHidden/>
              </w:rPr>
            </w:r>
            <w:r w:rsidR="00A47E58">
              <w:rPr>
                <w:noProof/>
                <w:webHidden/>
              </w:rPr>
              <w:fldChar w:fldCharType="separate"/>
            </w:r>
            <w:r w:rsidR="00A47E58">
              <w:rPr>
                <w:noProof/>
                <w:webHidden/>
              </w:rPr>
              <w:t>9</w:t>
            </w:r>
            <w:r w:rsidR="00A47E58">
              <w:rPr>
                <w:noProof/>
                <w:webHidden/>
              </w:rPr>
              <w:fldChar w:fldCharType="end"/>
            </w:r>
          </w:hyperlink>
        </w:p>
        <w:p w14:paraId="404E0AB1" w14:textId="5BFA7938"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8" w:history="1">
            <w:r w:rsidR="00A47E58" w:rsidRPr="00FF37B3">
              <w:rPr>
                <w:rStyle w:val="Hyperkobling"/>
                <w:noProof/>
              </w:rPr>
              <w:t>5.2.1.</w:t>
            </w:r>
            <w:r w:rsidR="00A47E58">
              <w:rPr>
                <w:rFonts w:asciiTheme="minorHAnsi" w:eastAsiaTheme="minorEastAsia" w:hAnsiTheme="minorHAnsi"/>
                <w:noProof/>
                <w:sz w:val="22"/>
                <w:lang w:eastAsia="nb-NO"/>
              </w:rPr>
              <w:tab/>
            </w:r>
            <w:r w:rsidR="00A47E58" w:rsidRPr="00FF37B3">
              <w:rPr>
                <w:rStyle w:val="Hyperkobling"/>
                <w:noProof/>
              </w:rPr>
              <w:t>Godkjenning av informasjonssystem</w:t>
            </w:r>
            <w:r w:rsidR="00A47E58">
              <w:rPr>
                <w:noProof/>
                <w:webHidden/>
              </w:rPr>
              <w:tab/>
            </w:r>
            <w:r w:rsidR="00A47E58">
              <w:rPr>
                <w:noProof/>
                <w:webHidden/>
              </w:rPr>
              <w:fldChar w:fldCharType="begin"/>
            </w:r>
            <w:r w:rsidR="00A47E58">
              <w:rPr>
                <w:noProof/>
                <w:webHidden/>
              </w:rPr>
              <w:instrText xml:space="preserve"> PAGEREF _Toc57316058 \h </w:instrText>
            </w:r>
            <w:r w:rsidR="00A47E58">
              <w:rPr>
                <w:noProof/>
                <w:webHidden/>
              </w:rPr>
            </w:r>
            <w:r w:rsidR="00A47E58">
              <w:rPr>
                <w:noProof/>
                <w:webHidden/>
              </w:rPr>
              <w:fldChar w:fldCharType="separate"/>
            </w:r>
            <w:r w:rsidR="00A47E58">
              <w:rPr>
                <w:noProof/>
                <w:webHidden/>
              </w:rPr>
              <w:t>9</w:t>
            </w:r>
            <w:r w:rsidR="00A47E58">
              <w:rPr>
                <w:noProof/>
                <w:webHidden/>
              </w:rPr>
              <w:fldChar w:fldCharType="end"/>
            </w:r>
          </w:hyperlink>
        </w:p>
        <w:p w14:paraId="0CFCF016" w14:textId="0530CA67"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59" w:history="1">
            <w:r w:rsidR="00A47E58" w:rsidRPr="00FF37B3">
              <w:rPr>
                <w:rStyle w:val="Hyperkobling"/>
                <w:noProof/>
              </w:rPr>
              <w:t>5.2.2.</w:t>
            </w:r>
            <w:r w:rsidR="00A47E58">
              <w:rPr>
                <w:rFonts w:asciiTheme="minorHAnsi" w:eastAsiaTheme="minorEastAsia" w:hAnsiTheme="minorHAnsi"/>
                <w:noProof/>
                <w:sz w:val="22"/>
                <w:lang w:eastAsia="nb-NO"/>
              </w:rPr>
              <w:tab/>
            </w:r>
            <w:r w:rsidR="00A47E58" w:rsidRPr="00FF37B3">
              <w:rPr>
                <w:rStyle w:val="Hyperkobling"/>
                <w:noProof/>
              </w:rPr>
              <w:t>Brudd på sikkerhetskrav</w:t>
            </w:r>
            <w:r w:rsidR="00A47E58">
              <w:rPr>
                <w:noProof/>
                <w:webHidden/>
              </w:rPr>
              <w:tab/>
            </w:r>
            <w:r w:rsidR="00A47E58">
              <w:rPr>
                <w:noProof/>
                <w:webHidden/>
              </w:rPr>
              <w:fldChar w:fldCharType="begin"/>
            </w:r>
            <w:r w:rsidR="00A47E58">
              <w:rPr>
                <w:noProof/>
                <w:webHidden/>
              </w:rPr>
              <w:instrText xml:space="preserve"> PAGEREF _Toc57316059 \h </w:instrText>
            </w:r>
            <w:r w:rsidR="00A47E58">
              <w:rPr>
                <w:noProof/>
                <w:webHidden/>
              </w:rPr>
            </w:r>
            <w:r w:rsidR="00A47E58">
              <w:rPr>
                <w:noProof/>
                <w:webHidden/>
              </w:rPr>
              <w:fldChar w:fldCharType="separate"/>
            </w:r>
            <w:r w:rsidR="00A47E58">
              <w:rPr>
                <w:noProof/>
                <w:webHidden/>
              </w:rPr>
              <w:t>9</w:t>
            </w:r>
            <w:r w:rsidR="00A47E58">
              <w:rPr>
                <w:noProof/>
                <w:webHidden/>
              </w:rPr>
              <w:fldChar w:fldCharType="end"/>
            </w:r>
          </w:hyperlink>
        </w:p>
        <w:p w14:paraId="5E932FEA" w14:textId="6F825B42"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60" w:history="1">
            <w:r w:rsidR="00A47E58" w:rsidRPr="00FF37B3">
              <w:rPr>
                <w:rStyle w:val="Hyperkobling"/>
                <w:noProof/>
              </w:rPr>
              <w:t>5.2.3.</w:t>
            </w:r>
            <w:r w:rsidR="00A47E58">
              <w:rPr>
                <w:rFonts w:asciiTheme="minorHAnsi" w:eastAsiaTheme="minorEastAsia" w:hAnsiTheme="minorHAnsi"/>
                <w:noProof/>
                <w:sz w:val="22"/>
                <w:lang w:eastAsia="nb-NO"/>
              </w:rPr>
              <w:tab/>
            </w:r>
            <w:r w:rsidR="00A47E58" w:rsidRPr="00FF37B3">
              <w:rPr>
                <w:rStyle w:val="Hyperkobling"/>
                <w:noProof/>
              </w:rPr>
              <w:t>Ytterligere krav</w:t>
            </w:r>
            <w:r w:rsidR="00A47E58">
              <w:rPr>
                <w:noProof/>
                <w:webHidden/>
              </w:rPr>
              <w:tab/>
            </w:r>
            <w:r w:rsidR="00A47E58">
              <w:rPr>
                <w:noProof/>
                <w:webHidden/>
              </w:rPr>
              <w:fldChar w:fldCharType="begin"/>
            </w:r>
            <w:r w:rsidR="00A47E58">
              <w:rPr>
                <w:noProof/>
                <w:webHidden/>
              </w:rPr>
              <w:instrText xml:space="preserve"> PAGEREF _Toc57316060 \h </w:instrText>
            </w:r>
            <w:r w:rsidR="00A47E58">
              <w:rPr>
                <w:noProof/>
                <w:webHidden/>
              </w:rPr>
            </w:r>
            <w:r w:rsidR="00A47E58">
              <w:rPr>
                <w:noProof/>
                <w:webHidden/>
              </w:rPr>
              <w:fldChar w:fldCharType="separate"/>
            </w:r>
            <w:r w:rsidR="00A47E58">
              <w:rPr>
                <w:noProof/>
                <w:webHidden/>
              </w:rPr>
              <w:t>9</w:t>
            </w:r>
            <w:r w:rsidR="00A47E58">
              <w:rPr>
                <w:noProof/>
                <w:webHidden/>
              </w:rPr>
              <w:fldChar w:fldCharType="end"/>
            </w:r>
          </w:hyperlink>
        </w:p>
        <w:p w14:paraId="4FA21F7D" w14:textId="05B41542" w:rsidR="00A47E58" w:rsidRDefault="005C25E6" w:rsidP="00A47E58">
          <w:pPr>
            <w:pStyle w:val="INNH3"/>
            <w:tabs>
              <w:tab w:val="left" w:pos="1320"/>
              <w:tab w:val="right" w:leader="dot" w:pos="9062"/>
            </w:tabs>
            <w:spacing w:after="0"/>
            <w:rPr>
              <w:rFonts w:asciiTheme="minorHAnsi" w:eastAsiaTheme="minorEastAsia" w:hAnsiTheme="minorHAnsi"/>
              <w:noProof/>
              <w:sz w:val="22"/>
              <w:lang w:eastAsia="nb-NO"/>
            </w:rPr>
          </w:pPr>
          <w:hyperlink w:anchor="_Toc57316061" w:history="1">
            <w:r w:rsidR="00A47E58" w:rsidRPr="00FF37B3">
              <w:rPr>
                <w:rStyle w:val="Hyperkobling"/>
                <w:noProof/>
              </w:rPr>
              <w:t>5.2.4.</w:t>
            </w:r>
            <w:r w:rsidR="00A47E58">
              <w:rPr>
                <w:rFonts w:asciiTheme="minorHAnsi" w:eastAsiaTheme="minorEastAsia" w:hAnsiTheme="minorHAnsi"/>
                <w:noProof/>
                <w:sz w:val="22"/>
                <w:lang w:eastAsia="nb-NO"/>
              </w:rPr>
              <w:tab/>
            </w:r>
            <w:r w:rsidR="00A47E58" w:rsidRPr="00FF37B3">
              <w:rPr>
                <w:rStyle w:val="Hyperkobling"/>
                <w:noProof/>
              </w:rPr>
              <w:t>Veiledere</w:t>
            </w:r>
            <w:r w:rsidR="00A47E58">
              <w:rPr>
                <w:noProof/>
                <w:webHidden/>
              </w:rPr>
              <w:tab/>
            </w:r>
            <w:r w:rsidR="00A47E58">
              <w:rPr>
                <w:noProof/>
                <w:webHidden/>
              </w:rPr>
              <w:fldChar w:fldCharType="begin"/>
            </w:r>
            <w:r w:rsidR="00A47E58">
              <w:rPr>
                <w:noProof/>
                <w:webHidden/>
              </w:rPr>
              <w:instrText xml:space="preserve"> PAGEREF _Toc57316061 \h </w:instrText>
            </w:r>
            <w:r w:rsidR="00A47E58">
              <w:rPr>
                <w:noProof/>
                <w:webHidden/>
              </w:rPr>
            </w:r>
            <w:r w:rsidR="00A47E58">
              <w:rPr>
                <w:noProof/>
                <w:webHidden/>
              </w:rPr>
              <w:fldChar w:fldCharType="separate"/>
            </w:r>
            <w:r w:rsidR="00A47E58">
              <w:rPr>
                <w:noProof/>
                <w:webHidden/>
              </w:rPr>
              <w:t>9</w:t>
            </w:r>
            <w:r w:rsidR="00A47E58">
              <w:rPr>
                <w:noProof/>
                <w:webHidden/>
              </w:rPr>
              <w:fldChar w:fldCharType="end"/>
            </w:r>
          </w:hyperlink>
        </w:p>
        <w:p w14:paraId="2AFCB68D" w14:textId="65E7002E" w:rsidR="002062F1" w:rsidRDefault="002062F1" w:rsidP="002062F1">
          <w:pPr>
            <w:spacing w:after="0"/>
          </w:pPr>
          <w:r>
            <w:rPr>
              <w:b/>
              <w:bCs/>
            </w:rPr>
            <w:fldChar w:fldCharType="end"/>
          </w:r>
        </w:p>
      </w:sdtContent>
    </w:sdt>
    <w:p w14:paraId="2CCE0106" w14:textId="77777777" w:rsidR="002062F1" w:rsidRDefault="002062F1" w:rsidP="002062F1">
      <w:pPr>
        <w:spacing w:after="0" w:line="240" w:lineRule="auto"/>
        <w:rPr>
          <w:b/>
          <w:sz w:val="22"/>
        </w:rPr>
      </w:pPr>
    </w:p>
    <w:p w14:paraId="760A14B3" w14:textId="77777777" w:rsidR="002062F1" w:rsidRDefault="002062F1" w:rsidP="002062F1">
      <w:pPr>
        <w:rPr>
          <w:b/>
          <w:szCs w:val="20"/>
        </w:rPr>
      </w:pPr>
      <w:r>
        <w:br w:type="page"/>
      </w:r>
    </w:p>
    <w:p w14:paraId="7BC908D7" w14:textId="5A5282D3" w:rsidR="002062F1" w:rsidRDefault="002062F1" w:rsidP="00A47E58">
      <w:pPr>
        <w:pStyle w:val="Overskrift1"/>
        <w:numPr>
          <w:ilvl w:val="0"/>
          <w:numId w:val="5"/>
        </w:numPr>
        <w:spacing w:line="256" w:lineRule="auto"/>
        <w:rPr>
          <w:szCs w:val="20"/>
        </w:rPr>
      </w:pPr>
      <w:bookmarkStart w:id="5" w:name="_Toc57316024"/>
      <w:r>
        <w:lastRenderedPageBreak/>
        <w:t>Innledning</w:t>
      </w:r>
      <w:bookmarkEnd w:id="5"/>
    </w:p>
    <w:p w14:paraId="6A651D02" w14:textId="391503CD" w:rsidR="002062F1" w:rsidRDefault="002062F1" w:rsidP="00A47E58">
      <w:pPr>
        <w:pStyle w:val="Overskrift2"/>
        <w:numPr>
          <w:ilvl w:val="1"/>
          <w:numId w:val="5"/>
        </w:numPr>
        <w:spacing w:after="0" w:line="256" w:lineRule="auto"/>
      </w:pPr>
      <w:bookmarkStart w:id="6" w:name="_Toc57316025"/>
      <w:r>
        <w:t>Formål</w:t>
      </w:r>
      <w:bookmarkEnd w:id="6"/>
    </w:p>
    <w:p w14:paraId="4416CE23" w14:textId="77777777" w:rsidR="002062F1" w:rsidRPr="00A47E58" w:rsidRDefault="002062F1" w:rsidP="002062F1">
      <w:pPr>
        <w:spacing w:line="240" w:lineRule="auto"/>
        <w:rPr>
          <w:rFonts w:cs="Arial"/>
          <w:szCs w:val="20"/>
        </w:rPr>
      </w:pPr>
      <w:r>
        <w:rPr>
          <w:szCs w:val="20"/>
        </w:rPr>
        <w:t xml:space="preserve">Formålet med denne orienteringen er å bidra til å gjøre leverandører av varer og tjenester til </w:t>
      </w:r>
      <w:r w:rsidRPr="00A47E58">
        <w:rPr>
          <w:rFonts w:cs="Arial"/>
          <w:szCs w:val="20"/>
        </w:rPr>
        <w:t>Forsvarsbygg (oppdragsgiver) oppmerksom på sikkerhetskrav som kan gjøres gjeldende i anskaffelsesprosessen.</w:t>
      </w:r>
    </w:p>
    <w:p w14:paraId="39EEEA95" w14:textId="3425CF57" w:rsidR="002062F1" w:rsidRDefault="002062F1" w:rsidP="00A47E58">
      <w:pPr>
        <w:pStyle w:val="Overskrift2"/>
        <w:numPr>
          <w:ilvl w:val="1"/>
          <w:numId w:val="5"/>
        </w:numPr>
        <w:spacing w:after="0" w:line="256" w:lineRule="auto"/>
        <w:rPr>
          <w:szCs w:val="20"/>
        </w:rPr>
      </w:pPr>
      <w:bookmarkStart w:id="7" w:name="_Toc57316026"/>
      <w:r>
        <w:t>Definisjoner</w:t>
      </w:r>
      <w:bookmarkEnd w:id="7"/>
    </w:p>
    <w:p w14:paraId="1DAA361D" w14:textId="77777777" w:rsidR="002062F1" w:rsidRDefault="002062F1" w:rsidP="002062F1">
      <w:pPr>
        <w:rPr>
          <w:rFonts w:eastAsia="Times New Roman" w:cs="Times New Roman"/>
          <w:szCs w:val="20"/>
        </w:rPr>
      </w:pPr>
      <w:r>
        <w:rPr>
          <w:rFonts w:eastAsia="Times New Roman" w:cs="Times New Roman"/>
          <w:i/>
          <w:szCs w:val="20"/>
        </w:rPr>
        <w:t>Sikkerhetsgradert anskaffelse</w:t>
      </w:r>
      <w:r>
        <w:rPr>
          <w:rFonts w:eastAsia="Times New Roman" w:cs="Times New Roman"/>
          <w:szCs w:val="20"/>
        </w:rPr>
        <w:t>: anskaffelse som innebærer at leverandøren av varen eller tjenesten kan få tilgang til skjermingsverdig informasjon eller informasjonssystemer som behandler slik informasjon, eller kan få tilgang til skjermingsverdig objekt eller infrastruktur.</w:t>
      </w:r>
    </w:p>
    <w:p w14:paraId="25EAC42A" w14:textId="77777777" w:rsidR="002062F1" w:rsidRDefault="002062F1" w:rsidP="002062F1">
      <w:pPr>
        <w:rPr>
          <w:rFonts w:eastAsia="Times New Roman" w:cs="Times New Roman"/>
          <w:szCs w:val="20"/>
        </w:rPr>
      </w:pPr>
      <w:r>
        <w:rPr>
          <w:rFonts w:eastAsia="Times New Roman" w:cs="Times New Roman"/>
          <w:i/>
          <w:szCs w:val="20"/>
        </w:rPr>
        <w:t>Forebyggende sikkerhetstjeneste</w:t>
      </w:r>
      <w:r>
        <w:rPr>
          <w:rFonts w:eastAsia="Times New Roman" w:cs="Times New Roman"/>
          <w:szCs w:val="20"/>
        </w:rPr>
        <w:t>: planlegging, tilrettelegging, gjennomføring og kontroll av forebyggende tiltak mot sikkerhetstruende virksomhet og følger av slik virksomhet.</w:t>
      </w:r>
    </w:p>
    <w:p w14:paraId="3A7439A1" w14:textId="77777777" w:rsidR="002062F1" w:rsidRDefault="002062F1" w:rsidP="002062F1">
      <w:pPr>
        <w:rPr>
          <w:rFonts w:eastAsia="Times New Roman" w:cs="Times New Roman"/>
          <w:szCs w:val="20"/>
        </w:rPr>
      </w:pPr>
      <w:r>
        <w:rPr>
          <w:rFonts w:eastAsia="Times New Roman" w:cs="Times New Roman"/>
          <w:i/>
          <w:szCs w:val="20"/>
        </w:rPr>
        <w:t>Sikkerhetstruende virksomhet</w:t>
      </w:r>
      <w:r>
        <w:rPr>
          <w:rFonts w:eastAsia="Times New Roman" w:cs="Times New Roman"/>
          <w:szCs w:val="20"/>
        </w:rPr>
        <w:t>: tilsiktede handlinger som direkte eller indirekte kan skade nasjonale sikkerhetsinteresser, eksempelvis forberedelse til, forsøk på og gjennomføring av spionasje, sabotasje eller terrorhandlinger, samt medvirkning til slik virksomhet.</w:t>
      </w:r>
    </w:p>
    <w:p w14:paraId="17D39C13" w14:textId="77777777" w:rsidR="002062F1" w:rsidRDefault="002062F1" w:rsidP="002062F1">
      <w:pPr>
        <w:rPr>
          <w:rFonts w:eastAsia="Times New Roman" w:cs="Times New Roman"/>
          <w:szCs w:val="20"/>
        </w:rPr>
      </w:pPr>
      <w:r>
        <w:rPr>
          <w:rFonts w:eastAsia="Times New Roman" w:cs="Times New Roman"/>
          <w:i/>
          <w:szCs w:val="20"/>
        </w:rPr>
        <w:t>Skjermingsverdig informasjon</w:t>
      </w:r>
      <w:r>
        <w:rPr>
          <w:rFonts w:eastAsia="Times New Roman" w:cs="Times New Roman"/>
          <w:szCs w:val="20"/>
        </w:rPr>
        <w:t xml:space="preserve">: Samlebetegnelse som benyttes om all informasjon som skal beskyttes etter sikkerhetsloven. Informasjonen kan være sikkerhetsgradert eller ugradert. </w:t>
      </w:r>
    </w:p>
    <w:p w14:paraId="2C173C6D" w14:textId="77777777" w:rsidR="002062F1" w:rsidRDefault="002062F1" w:rsidP="002062F1">
      <w:pPr>
        <w:rPr>
          <w:rFonts w:cstheme="minorHAnsi"/>
          <w:sz w:val="22"/>
        </w:rPr>
      </w:pPr>
      <w:r>
        <w:rPr>
          <w:rFonts w:eastAsia="Times New Roman" w:cs="Times New Roman"/>
          <w:i/>
          <w:szCs w:val="20"/>
        </w:rPr>
        <w:t>Ugradert skjermingsverdig informasjon</w:t>
      </w:r>
      <w:r>
        <w:rPr>
          <w:rFonts w:eastAsia="Times New Roman" w:cs="Times New Roman"/>
          <w:szCs w:val="20"/>
        </w:rPr>
        <w:t>: informasjon som har betydning for grunnleggende nasjonale funksjoner, men som ikke er sikkerhetsgradert. Informasjonen er skjermingsverdig ut ifra en integritets- og tilgjengelighetsvurdering, dvs. at den kan skade nasjonale sikkerhetsinteresser dersom den går tapt eller blir endret (integritet), eller gjort utilgjengelig (tilgjengelighet)).</w:t>
      </w:r>
    </w:p>
    <w:p w14:paraId="1275EBEE" w14:textId="77777777" w:rsidR="002062F1" w:rsidRDefault="002062F1" w:rsidP="002062F1">
      <w:pPr>
        <w:rPr>
          <w:rFonts w:eastAsia="Times New Roman" w:cs="Times New Roman"/>
          <w:szCs w:val="20"/>
        </w:rPr>
      </w:pPr>
      <w:r>
        <w:rPr>
          <w:rFonts w:eastAsia="Times New Roman" w:cs="Times New Roman"/>
          <w:i/>
          <w:szCs w:val="20"/>
        </w:rPr>
        <w:t>Sikkerhetsgradert skjermingsverdig informasjon</w:t>
      </w:r>
      <w:r>
        <w:rPr>
          <w:rFonts w:eastAsia="Times New Roman" w:cs="Times New Roman"/>
          <w:szCs w:val="20"/>
        </w:rPr>
        <w:t>: informasjon som er merket med sikkerhetsgrad (BEGRENSET, KONFIDENSIELT, HEMMELIG eller STRENGT HEMMELIG).</w:t>
      </w:r>
      <w:r>
        <w:rPr>
          <w:rFonts w:cstheme="minorHAnsi"/>
        </w:rPr>
        <w:t xml:space="preserve"> </w:t>
      </w:r>
      <w:r>
        <w:rPr>
          <w:rFonts w:eastAsia="Times New Roman" w:cs="Times New Roman"/>
          <w:szCs w:val="20"/>
        </w:rPr>
        <w:t>Informasjonen er skjermingsverdig ut ifra en integritets-, tilgjengelighets- og konfidensialitetsvurdering, dvs. den kan skade nasjonale sikkerhetsinteresser om den går tapt eller blir endret (integritet), gjort utilgjengelig (tilgjengelighet) eller blir kjent for uvedkommende (konfidensialitet).</w:t>
      </w:r>
    </w:p>
    <w:p w14:paraId="50E8C421" w14:textId="77777777" w:rsidR="002062F1" w:rsidRDefault="002062F1" w:rsidP="002062F1">
      <w:pPr>
        <w:rPr>
          <w:rFonts w:eastAsia="Times New Roman" w:cs="Times New Roman"/>
          <w:szCs w:val="20"/>
        </w:rPr>
      </w:pPr>
      <w:r>
        <w:rPr>
          <w:rFonts w:eastAsia="Times New Roman" w:cs="Times New Roman"/>
          <w:i/>
          <w:szCs w:val="20"/>
        </w:rPr>
        <w:t>Skjermingsverdig objekt og infrastruktur</w:t>
      </w:r>
      <w:r>
        <w:rPr>
          <w:rFonts w:eastAsia="Times New Roman" w:cs="Times New Roman"/>
          <w:szCs w:val="20"/>
        </w:rPr>
        <w:t>: eiendom og infrastruktur som er utpekt og klassifisert av et departement eller Nasjonal sikkerhetsmyndighet (NSM), fordi det kan skade grunnleggende nasjonale funksjoner om objektene eller infrastrukturen får redusert funksjonalitet eller blir utsatt for skadeverk, ødeleggelse eller rettstridig overtakelse.</w:t>
      </w:r>
    </w:p>
    <w:p w14:paraId="0CB90873" w14:textId="77777777" w:rsidR="002062F1" w:rsidRDefault="002062F1" w:rsidP="002062F1">
      <w:pPr>
        <w:rPr>
          <w:rFonts w:eastAsia="Times New Roman" w:cs="Times New Roman"/>
          <w:szCs w:val="20"/>
        </w:rPr>
      </w:pPr>
      <w:r>
        <w:rPr>
          <w:rFonts w:eastAsia="Times New Roman" w:cs="Times New Roman"/>
          <w:i/>
          <w:szCs w:val="20"/>
        </w:rPr>
        <w:t>Skjermingsverdig informasjonssystem</w:t>
      </w:r>
      <w:r>
        <w:rPr>
          <w:rFonts w:eastAsia="Times New Roman" w:cs="Times New Roman"/>
          <w:szCs w:val="20"/>
        </w:rPr>
        <w:t>: informasjonssystem som behandler skjermingsverdig informasjon, eller som har avgjørende betydning for grunnleggende nasjonale funksjoner.</w:t>
      </w:r>
    </w:p>
    <w:p w14:paraId="3185CAD1" w14:textId="77777777" w:rsidR="002062F1" w:rsidRDefault="002062F1" w:rsidP="002062F1">
      <w:pPr>
        <w:rPr>
          <w:rFonts w:eastAsia="Times New Roman" w:cs="Times New Roman"/>
          <w:szCs w:val="20"/>
        </w:rPr>
      </w:pPr>
      <w:r>
        <w:rPr>
          <w:rFonts w:eastAsia="Times New Roman" w:cs="Times New Roman"/>
          <w:i/>
          <w:szCs w:val="20"/>
        </w:rPr>
        <w:t xml:space="preserve">Skjermingsverdig verdi: </w:t>
      </w:r>
      <w:r>
        <w:rPr>
          <w:rFonts w:eastAsia="Times New Roman" w:cs="Times New Roman"/>
          <w:szCs w:val="20"/>
        </w:rPr>
        <w:t>skjermingsverdig objekt, infrastruktur, informasjon eller informasjonssystem.</w:t>
      </w:r>
    </w:p>
    <w:p w14:paraId="74C27FC0" w14:textId="77777777" w:rsidR="002062F1" w:rsidRDefault="002062F1" w:rsidP="002062F1">
      <w:pPr>
        <w:rPr>
          <w:rFonts w:eastAsia="Times New Roman" w:cs="Times New Roman"/>
          <w:szCs w:val="20"/>
        </w:rPr>
      </w:pPr>
      <w:r>
        <w:rPr>
          <w:rFonts w:eastAsia="Times New Roman" w:cs="Times New Roman"/>
          <w:i/>
          <w:szCs w:val="20"/>
        </w:rPr>
        <w:t>Grunnleggende nasjonale funksjoner</w:t>
      </w:r>
      <w:r>
        <w:rPr>
          <w:rFonts w:eastAsia="Times New Roman" w:cs="Times New Roman"/>
          <w:szCs w:val="20"/>
        </w:rPr>
        <w:t xml:space="preserve">: tjenester, produksjon, og andre former for virksomhet som er av en slik betydning at et helt eller delvis bortfall av funksjonen vil få konsekvenser for statens evne til å ivareta nasjonale sikkerhetsinteresser. </w:t>
      </w:r>
    </w:p>
    <w:p w14:paraId="64ABE20F" w14:textId="77777777" w:rsidR="002062F1" w:rsidRDefault="002062F1" w:rsidP="002062F1">
      <w:pPr>
        <w:rPr>
          <w:rFonts w:eastAsia="Times New Roman" w:cs="Times New Roman"/>
          <w:szCs w:val="20"/>
        </w:rPr>
      </w:pPr>
      <w:r>
        <w:rPr>
          <w:rFonts w:eastAsia="Times New Roman" w:cs="Times New Roman"/>
          <w:i/>
          <w:szCs w:val="20"/>
        </w:rPr>
        <w:t>Styringssystem for sikkerhet</w:t>
      </w:r>
      <w:r>
        <w:rPr>
          <w:rFonts w:eastAsia="Times New Roman" w:cs="Times New Roman"/>
          <w:szCs w:val="20"/>
        </w:rPr>
        <w:t>: styringssystem som utgjør rammen for hvordan leverandøren oppfyller kravene til forebyggende sikkerhet. Styringssystemet for sikkerhet skal sikre at sikkerhetsarbeidet planlegges, gjennomføres og kontinuerlig utvikles på en systematisk måte og helhetlig måte.</w:t>
      </w:r>
    </w:p>
    <w:p w14:paraId="310C3649" w14:textId="2693CA8D" w:rsidR="002062F1" w:rsidRDefault="002062F1" w:rsidP="00A47E58">
      <w:pPr>
        <w:pStyle w:val="Overskrift2"/>
        <w:numPr>
          <w:ilvl w:val="1"/>
          <w:numId w:val="5"/>
        </w:numPr>
        <w:spacing w:after="0" w:line="256" w:lineRule="auto"/>
        <w:rPr>
          <w:rFonts w:cs="Calibri"/>
          <w:szCs w:val="20"/>
        </w:rPr>
      </w:pPr>
      <w:bookmarkStart w:id="8" w:name="_Toc57316027"/>
      <w:r>
        <w:t>Sikkerhet i anskaffelser</w:t>
      </w:r>
      <w:bookmarkEnd w:id="8"/>
    </w:p>
    <w:p w14:paraId="3C8B6A62" w14:textId="77777777" w:rsidR="002062F1" w:rsidRDefault="002062F1" w:rsidP="002062F1">
      <w:pPr>
        <w:rPr>
          <w:szCs w:val="20"/>
        </w:rPr>
      </w:pPr>
      <w:r>
        <w:rPr>
          <w:szCs w:val="20"/>
        </w:rPr>
        <w:t xml:space="preserve">Ved anskaffelse av varer og tjenester skal </w:t>
      </w:r>
      <w:r>
        <w:rPr>
          <w:rFonts w:ascii="Calibri" w:hAnsi="Calibri"/>
          <w:szCs w:val="20"/>
        </w:rPr>
        <w:t>oppdragsgiver</w:t>
      </w:r>
      <w:r>
        <w:rPr>
          <w:szCs w:val="20"/>
        </w:rPr>
        <w:t xml:space="preserve"> ta stilling til hva leverandører (omfatter også tilbydere og underleverandører) kan få tilgang til av skjermingsverdig informasjon og skjermingsverdige objekter eller skjermingsverdig infrastruktur i de ulike fasene av en anskaffelse. </w:t>
      </w:r>
    </w:p>
    <w:p w14:paraId="4B7CFF9A" w14:textId="77777777" w:rsidR="002062F1" w:rsidRDefault="002062F1" w:rsidP="002062F1">
      <w:pPr>
        <w:rPr>
          <w:szCs w:val="20"/>
        </w:rPr>
      </w:pPr>
      <w:r>
        <w:rPr>
          <w:szCs w:val="20"/>
        </w:rPr>
        <w:t xml:space="preserve">I konkurransegrunnlaget kan det bli stilt krav om at leverandøren må være i stand til å til å håndtere og beskytte skjermingsverdig informasjon i sine egne lokaler, eller oppfylle krav som stilles for tilgang til skjermingsverdig objekt eller infrastruktur. I den forbindelse vil oppdragsgiver gi råd og veiledning om forebyggende sikkerhetstjeneste. </w:t>
      </w:r>
    </w:p>
    <w:p w14:paraId="15669429" w14:textId="22BDD8C9" w:rsidR="002062F1" w:rsidRDefault="002062F1" w:rsidP="00A47E58">
      <w:pPr>
        <w:pStyle w:val="Overskrift2"/>
        <w:numPr>
          <w:ilvl w:val="1"/>
          <w:numId w:val="5"/>
        </w:numPr>
        <w:spacing w:after="0" w:line="256" w:lineRule="auto"/>
        <w:rPr>
          <w:szCs w:val="20"/>
        </w:rPr>
      </w:pPr>
      <w:bookmarkStart w:id="9" w:name="_Toc57316028"/>
      <w:r>
        <w:lastRenderedPageBreak/>
        <w:t>Hjemmel</w:t>
      </w:r>
      <w:bookmarkEnd w:id="9"/>
    </w:p>
    <w:p w14:paraId="1B4E9AE0" w14:textId="77777777" w:rsidR="002062F1" w:rsidRDefault="002062F1" w:rsidP="002062F1">
      <w:pPr>
        <w:rPr>
          <w:szCs w:val="20"/>
        </w:rPr>
      </w:pPr>
      <w:r>
        <w:rPr>
          <w:szCs w:val="20"/>
        </w:rPr>
        <w:t xml:space="preserve">Lov om nasjonal sikkerhet (sikkerhetsloven) gjelder for statlige, fylkeskommunale og kommunale organer, samt leverandører av varer og tjenester ifm sikkerhetsgraderte anskaffelser. </w:t>
      </w:r>
    </w:p>
    <w:p w14:paraId="31983CC5" w14:textId="77777777" w:rsidR="002062F1" w:rsidRDefault="002062F1" w:rsidP="002062F1">
      <w:pPr>
        <w:rPr>
          <w:szCs w:val="20"/>
        </w:rPr>
      </w:pPr>
      <w:r>
        <w:rPr>
          <w:szCs w:val="20"/>
        </w:rPr>
        <w:t xml:space="preserve">Sentrale forskrifter som er hjemlet i sikkerhetsloven: </w:t>
      </w:r>
    </w:p>
    <w:p w14:paraId="386030A7" w14:textId="77777777" w:rsidR="002062F1" w:rsidRDefault="002062F1" w:rsidP="00A47E58">
      <w:pPr>
        <w:pStyle w:val="Listeavsnitt"/>
        <w:numPr>
          <w:ilvl w:val="0"/>
          <w:numId w:val="6"/>
        </w:numPr>
        <w:spacing w:after="0" w:line="256" w:lineRule="auto"/>
        <w:ind w:left="1423" w:hanging="357"/>
        <w:rPr>
          <w:szCs w:val="20"/>
        </w:rPr>
      </w:pPr>
      <w:r>
        <w:rPr>
          <w:szCs w:val="20"/>
        </w:rPr>
        <w:t>Forskrift om virksomheters arbeid med forebyggende sikkerhet (virksomhetsikkerhetsforskriften)</w:t>
      </w:r>
    </w:p>
    <w:p w14:paraId="5D373D66" w14:textId="77777777" w:rsidR="002062F1" w:rsidRDefault="002062F1" w:rsidP="00A47E58">
      <w:pPr>
        <w:pStyle w:val="Listeavsnitt"/>
        <w:numPr>
          <w:ilvl w:val="0"/>
          <w:numId w:val="6"/>
        </w:numPr>
        <w:spacing w:line="256" w:lineRule="auto"/>
        <w:ind w:left="1423" w:hanging="357"/>
        <w:rPr>
          <w:szCs w:val="20"/>
        </w:rPr>
      </w:pPr>
      <w:r>
        <w:rPr>
          <w:szCs w:val="20"/>
        </w:rPr>
        <w:t>Forskrift om sikkerhetsklarering og annen klarering (klareringsforskriften)</w:t>
      </w:r>
    </w:p>
    <w:p w14:paraId="2B3B5DE1" w14:textId="5871992A" w:rsidR="002062F1" w:rsidRDefault="002062F1" w:rsidP="00A47E58">
      <w:pPr>
        <w:pStyle w:val="Overskrift3"/>
        <w:numPr>
          <w:ilvl w:val="2"/>
          <w:numId w:val="5"/>
        </w:numPr>
        <w:spacing w:after="0" w:line="256" w:lineRule="auto"/>
        <w:ind w:left="851"/>
        <w:rPr>
          <w:szCs w:val="20"/>
        </w:rPr>
      </w:pPr>
      <w:r>
        <w:t xml:space="preserve"> </w:t>
      </w:r>
      <w:bookmarkStart w:id="10" w:name="_Toc57316029"/>
      <w:r>
        <w:t>Forholdet til regelverket om offentlige anskaffelser</w:t>
      </w:r>
      <w:bookmarkEnd w:id="10"/>
    </w:p>
    <w:p w14:paraId="1F8D42D4" w14:textId="77777777" w:rsidR="002062F1" w:rsidRDefault="002062F1" w:rsidP="002062F1">
      <w:pPr>
        <w:rPr>
          <w:szCs w:val="20"/>
        </w:rPr>
      </w:pPr>
      <w:r>
        <w:rPr>
          <w:szCs w:val="20"/>
        </w:rPr>
        <w:t>Reglene om sikkerhetsgraderte anskaffelser kommer i tillegg til reglene som gjelder for offentlige anskaffelser (anskaffelsesloven) med tilhørende forskrifter.</w:t>
      </w:r>
    </w:p>
    <w:p w14:paraId="09497A70" w14:textId="1D5EBAED" w:rsidR="002062F1" w:rsidRDefault="002062F1" w:rsidP="00A47E58">
      <w:pPr>
        <w:pStyle w:val="Overskrift2"/>
        <w:numPr>
          <w:ilvl w:val="1"/>
          <w:numId w:val="5"/>
        </w:numPr>
        <w:spacing w:after="0" w:line="256" w:lineRule="auto"/>
        <w:rPr>
          <w:szCs w:val="20"/>
        </w:rPr>
      </w:pPr>
      <w:bookmarkStart w:id="11" w:name="_Toc57316030"/>
      <w:r>
        <w:t>Generelle krav til forebyggende sikkerhetsarbeid</w:t>
      </w:r>
      <w:bookmarkEnd w:id="11"/>
    </w:p>
    <w:p w14:paraId="62EACFBC" w14:textId="5A4EA611" w:rsidR="002062F1" w:rsidRDefault="002062F1" w:rsidP="00A47E58">
      <w:pPr>
        <w:pStyle w:val="Overskrift3"/>
        <w:numPr>
          <w:ilvl w:val="2"/>
          <w:numId w:val="5"/>
        </w:numPr>
        <w:spacing w:after="0" w:line="256" w:lineRule="auto"/>
        <w:ind w:left="851"/>
      </w:pPr>
      <w:r>
        <w:t xml:space="preserve"> </w:t>
      </w:r>
      <w:bookmarkStart w:id="12" w:name="_Toc57316031"/>
      <w:r>
        <w:t>Styringssystem for sikkerhet</w:t>
      </w:r>
      <w:bookmarkEnd w:id="12"/>
    </w:p>
    <w:p w14:paraId="65305036" w14:textId="77777777" w:rsidR="002062F1" w:rsidRDefault="002062F1" w:rsidP="002062F1">
      <w:pPr>
        <w:rPr>
          <w:szCs w:val="20"/>
        </w:rPr>
      </w:pPr>
      <w:r>
        <w:rPr>
          <w:szCs w:val="20"/>
        </w:rPr>
        <w:t xml:space="preserve">En virksomhet som omfattes av sikkerhetsloven, skal etablere et styringssystem for sikkerhet. Systemet skal sikre at virksomheten som oppfyller kravene gitt i eller med hjemme i loven. </w:t>
      </w:r>
    </w:p>
    <w:p w14:paraId="09821D8F" w14:textId="4F95211A" w:rsidR="002062F1" w:rsidRDefault="002062F1" w:rsidP="00A47E58">
      <w:pPr>
        <w:pStyle w:val="Overskrift3"/>
        <w:numPr>
          <w:ilvl w:val="2"/>
          <w:numId w:val="5"/>
        </w:numPr>
        <w:spacing w:after="0" w:line="256" w:lineRule="auto"/>
        <w:ind w:left="851"/>
        <w:rPr>
          <w:szCs w:val="20"/>
        </w:rPr>
      </w:pPr>
      <w:r>
        <w:t xml:space="preserve"> </w:t>
      </w:r>
      <w:bookmarkStart w:id="13" w:name="_Toc57316032"/>
      <w:r>
        <w:t>Leverandørens ansvar</w:t>
      </w:r>
      <w:bookmarkEnd w:id="13"/>
      <w:r>
        <w:t xml:space="preserve"> </w:t>
      </w:r>
    </w:p>
    <w:p w14:paraId="5FB4A6AD" w14:textId="77777777" w:rsidR="002062F1" w:rsidRDefault="002062F1" w:rsidP="002062F1">
      <w:pPr>
        <w:rPr>
          <w:szCs w:val="20"/>
        </w:rPr>
      </w:pPr>
      <w:r>
        <w:rPr>
          <w:szCs w:val="20"/>
        </w:rPr>
        <w:t>Leverandøren eller personell fra leverandøren skal oppfylle de samme krav til sikkerhet som gjelder for oppdragsgiver. Kravene til leverandøren vil avhenge av hva leverandøren får tilgang til, og hvordan denne tilgangen gis.</w:t>
      </w:r>
    </w:p>
    <w:p w14:paraId="306B2FBD" w14:textId="77777777" w:rsidR="002062F1" w:rsidRDefault="002062F1" w:rsidP="002062F1">
      <w:pPr>
        <w:rPr>
          <w:szCs w:val="20"/>
        </w:rPr>
      </w:pPr>
      <w:r>
        <w:rPr>
          <w:szCs w:val="20"/>
        </w:rPr>
        <w:t xml:space="preserve">Leverandørens leder har ansvaret for det forebyggende sikkerhetsarbeidet innen sitt ansvars- og myndighetsområde, herunder underlagte virksomheter. Det kreves at sikkerhetsarbeidet utøves på en proaktiv og systematisk måte. </w:t>
      </w:r>
    </w:p>
    <w:p w14:paraId="1B1326ED" w14:textId="2589916E" w:rsidR="002062F1" w:rsidRDefault="002062F1" w:rsidP="00A47E58">
      <w:pPr>
        <w:pStyle w:val="Overskrift3"/>
        <w:numPr>
          <w:ilvl w:val="2"/>
          <w:numId w:val="5"/>
        </w:numPr>
        <w:spacing w:after="0" w:line="256" w:lineRule="auto"/>
        <w:ind w:left="851"/>
        <w:rPr>
          <w:szCs w:val="20"/>
        </w:rPr>
      </w:pPr>
      <w:r>
        <w:t xml:space="preserve"> </w:t>
      </w:r>
      <w:bookmarkStart w:id="14" w:name="_Toc57316033"/>
      <w:r>
        <w:t>Krav om forsvarlig sikkerhetsnivå</w:t>
      </w:r>
      <w:bookmarkEnd w:id="14"/>
    </w:p>
    <w:p w14:paraId="48C90D97" w14:textId="77777777" w:rsidR="002062F1" w:rsidRDefault="002062F1" w:rsidP="002062F1">
      <w:pPr>
        <w:rPr>
          <w:szCs w:val="20"/>
        </w:rPr>
      </w:pPr>
      <w:r>
        <w:rPr>
          <w:szCs w:val="20"/>
        </w:rPr>
        <w:t>Det stilles funksjonelle krav til håndtering av risiko knyttet til skjermingsverdig informasjon. Funksjonelle krav innebærer at det stilles krav om hva sikkerhetstiltakene i virksomhetene skal oppnå, ikke hvordan kravene oppnås. Det er derfor, med visse unntak, ikke avgjørende hvilke sikkerhetstiltak som velges, så lenge de valgte tiltakene gjør at det oppnås et forsvarlig sikkerhetsnivå. Det legges således opp til at leverandøren kan velge å kombinere fysiske, elektroniske, menneskelige og organisatoriske tiltak, så lenge virksomheten har et forsvarlig sikkerhetsnivå.</w:t>
      </w:r>
    </w:p>
    <w:p w14:paraId="641B3C3C" w14:textId="77777777" w:rsidR="002062F1" w:rsidRDefault="002062F1" w:rsidP="002062F1">
      <w:pPr>
        <w:rPr>
          <w:szCs w:val="20"/>
        </w:rPr>
      </w:pPr>
      <w:r>
        <w:rPr>
          <w:rFonts w:eastAsia="Times New Roman" w:cs="Times New Roman"/>
          <w:szCs w:val="20"/>
        </w:rPr>
        <w:t xml:space="preserve">Leverandøren skal identifisere, analysere og evaluere risiko for at kravet om forsvarlig sikkerhetsnivået ikke kan oppfylles. </w:t>
      </w:r>
      <w:r>
        <w:rPr>
          <w:szCs w:val="20"/>
        </w:rPr>
        <w:t xml:space="preserve">På bakgrunn av risikovurderingen skal leverandøren gjennomføre de forebyggende sikkerhetstiltakene som er nødvendig for å oppnå et forsvarlig sikkerhetsnivå. </w:t>
      </w:r>
    </w:p>
    <w:p w14:paraId="03E2B699" w14:textId="77777777" w:rsidR="002062F1" w:rsidRDefault="002062F1" w:rsidP="002062F1">
      <w:pPr>
        <w:spacing w:after="0" w:line="240" w:lineRule="auto"/>
        <w:rPr>
          <w:szCs w:val="20"/>
        </w:rPr>
      </w:pPr>
      <w:r>
        <w:rPr>
          <w:szCs w:val="20"/>
        </w:rPr>
        <w:t>Leverandøren skal dokumentere at han på en tilfredsstillende måte både har vurdert og håndtert risiko og hvilke sikkerhetstiltak som er etablert.</w:t>
      </w:r>
    </w:p>
    <w:p w14:paraId="2B83B52B" w14:textId="77777777" w:rsidR="002062F1" w:rsidRDefault="002062F1" w:rsidP="002062F1">
      <w:pPr>
        <w:spacing w:after="0"/>
        <w:rPr>
          <w:szCs w:val="20"/>
        </w:rPr>
      </w:pPr>
    </w:p>
    <w:p w14:paraId="76CA0530" w14:textId="35F90B47" w:rsidR="002062F1" w:rsidRDefault="002062F1" w:rsidP="00A47E58">
      <w:pPr>
        <w:pStyle w:val="Overskrift3"/>
        <w:numPr>
          <w:ilvl w:val="2"/>
          <w:numId w:val="5"/>
        </w:numPr>
        <w:spacing w:after="0" w:line="256" w:lineRule="auto"/>
        <w:ind w:left="851"/>
        <w:rPr>
          <w:szCs w:val="20"/>
        </w:rPr>
      </w:pPr>
      <w:r>
        <w:t xml:space="preserve"> </w:t>
      </w:r>
      <w:bookmarkStart w:id="15" w:name="_Toc57316034"/>
      <w:r>
        <w:t>Utgifter til oppfyllelse av sikkerhetskrav</w:t>
      </w:r>
      <w:bookmarkEnd w:id="15"/>
    </w:p>
    <w:p w14:paraId="3F360916" w14:textId="77777777" w:rsidR="002062F1" w:rsidRDefault="002062F1" w:rsidP="002062F1">
      <w:pPr>
        <w:spacing w:after="0"/>
        <w:rPr>
          <w:szCs w:val="20"/>
        </w:rPr>
      </w:pPr>
      <w:r>
        <w:rPr>
          <w:szCs w:val="20"/>
        </w:rPr>
        <w:t>Leverandøren må selv dekke utgifter til å oppfylle krav som følger av lovens bestemmelser, hvis ikke noe annet følger av avtalen, sikkerhetsavtalen med Forsvarsbygg (</w:t>
      </w:r>
      <w:r>
        <w:rPr>
          <w:rFonts w:ascii="Calibri" w:hAnsi="Calibri"/>
          <w:szCs w:val="20"/>
        </w:rPr>
        <w:t>oppdragsgiver</w:t>
      </w:r>
      <w:r>
        <w:rPr>
          <w:szCs w:val="20"/>
        </w:rPr>
        <w:t>) eller forskrifter (se forskrift om sikkerhetsklarering og annen klarering av 20. desember 2018 (klareringsforskriften) § 31).</w:t>
      </w:r>
    </w:p>
    <w:p w14:paraId="17075435" w14:textId="72B26DCD" w:rsidR="002062F1" w:rsidRDefault="002062F1" w:rsidP="00A47E58">
      <w:pPr>
        <w:pStyle w:val="Overskrift3"/>
        <w:numPr>
          <w:ilvl w:val="2"/>
          <w:numId w:val="5"/>
        </w:numPr>
        <w:spacing w:before="240" w:after="0" w:line="256" w:lineRule="auto"/>
        <w:ind w:left="851"/>
        <w:rPr>
          <w:szCs w:val="20"/>
        </w:rPr>
      </w:pPr>
      <w:r>
        <w:t xml:space="preserve"> </w:t>
      </w:r>
      <w:bookmarkStart w:id="16" w:name="_Toc57316035"/>
      <w:r>
        <w:t>Brudd på sikkerhetskrav</w:t>
      </w:r>
      <w:bookmarkEnd w:id="16"/>
    </w:p>
    <w:p w14:paraId="3A511C87" w14:textId="09A63EF8" w:rsidR="002062F1" w:rsidRDefault="002062F1" w:rsidP="002062F1">
      <w:pPr>
        <w:rPr>
          <w:szCs w:val="20"/>
        </w:rPr>
      </w:pPr>
      <w:r>
        <w:rPr>
          <w:szCs w:val="20"/>
        </w:rPr>
        <w:t>Overtredelse av sikkerhetsbestemmelser, forsettlig eller uaktsomt, kan ansees som brudd på levera</w:t>
      </w:r>
      <w:r w:rsidR="00A47E58">
        <w:rPr>
          <w:szCs w:val="20"/>
        </w:rPr>
        <w:t>ndørens kontraktsforpliktelser.</w:t>
      </w:r>
    </w:p>
    <w:p w14:paraId="49CA5E2D" w14:textId="77777777" w:rsidR="00A47E58" w:rsidRPr="00A47E58" w:rsidRDefault="00A47E58" w:rsidP="002062F1">
      <w:pPr>
        <w:rPr>
          <w:sz w:val="10"/>
          <w:szCs w:val="20"/>
        </w:rPr>
      </w:pPr>
    </w:p>
    <w:p w14:paraId="54C02828" w14:textId="446CBA2B" w:rsidR="002062F1" w:rsidRDefault="002062F1" w:rsidP="00A47E58">
      <w:pPr>
        <w:pStyle w:val="Overskrift1"/>
        <w:numPr>
          <w:ilvl w:val="0"/>
          <w:numId w:val="5"/>
        </w:numPr>
        <w:spacing w:line="256" w:lineRule="auto"/>
        <w:rPr>
          <w:szCs w:val="20"/>
        </w:rPr>
      </w:pPr>
      <w:bookmarkStart w:id="17" w:name="_Toc57316036"/>
      <w:r>
        <w:t>Anskaffelser på skjermingsverdig ugradert nivå</w:t>
      </w:r>
      <w:bookmarkEnd w:id="17"/>
    </w:p>
    <w:p w14:paraId="6AD15A73" w14:textId="77777777" w:rsidR="002062F1" w:rsidRDefault="002062F1" w:rsidP="002062F1">
      <w:pPr>
        <w:rPr>
          <w:szCs w:val="20"/>
        </w:rPr>
      </w:pPr>
      <w:r>
        <w:rPr>
          <w:rFonts w:eastAsia="Times New Roman" w:cs="Times New Roman"/>
          <w:szCs w:val="20"/>
        </w:rPr>
        <w:t>Ved håndtering av risiko knyttet til skjermingsverdig ugradert informasjon skal det etableres forebyggende sikkerhetstiltak som et minimum sørger for at informasjonen ikke kan gå tapt, endres eller gjøres utilgjengelig med enkle midler.</w:t>
      </w:r>
      <w:r>
        <w:rPr>
          <w:szCs w:val="20"/>
        </w:rPr>
        <w:t xml:space="preserve"> Ved valg av sikkerhetstiltak skal leverandøren se behovet </w:t>
      </w:r>
      <w:r>
        <w:rPr>
          <w:szCs w:val="20"/>
        </w:rPr>
        <w:lastRenderedPageBreak/>
        <w:t xml:space="preserve">for å beskytte informasjonens integritet og tilgjengelighet i sammenheng og veie hensynene mot hverandre. </w:t>
      </w:r>
    </w:p>
    <w:p w14:paraId="7C87D866" w14:textId="16279346" w:rsidR="002062F1" w:rsidRDefault="002062F1" w:rsidP="00A47E58">
      <w:pPr>
        <w:pStyle w:val="Overskrift2"/>
        <w:numPr>
          <w:ilvl w:val="1"/>
          <w:numId w:val="5"/>
        </w:numPr>
        <w:spacing w:after="0" w:line="256" w:lineRule="auto"/>
        <w:rPr>
          <w:szCs w:val="20"/>
        </w:rPr>
      </w:pPr>
      <w:bookmarkStart w:id="18" w:name="_Toc57316037"/>
      <w:r>
        <w:t>Veiledere</w:t>
      </w:r>
      <w:bookmarkEnd w:id="18"/>
    </w:p>
    <w:p w14:paraId="0285AD2E" w14:textId="77777777" w:rsidR="002062F1" w:rsidRDefault="002062F1" w:rsidP="002062F1">
      <w:pPr>
        <w:spacing w:line="240" w:lineRule="auto"/>
        <w:rPr>
          <w:szCs w:val="20"/>
        </w:rPr>
      </w:pPr>
      <w:r>
        <w:rPr>
          <w:szCs w:val="20"/>
        </w:rPr>
        <w:t>For virksomheter som skal ha tilgang til skjermingsverdig ugradert informasjon vil følgende veiledere utgitt av NSM være relevante å benytte i det forebyggende sikkerhetsarbeidet.</w:t>
      </w:r>
    </w:p>
    <w:p w14:paraId="5D517562" w14:textId="77777777" w:rsidR="002062F1" w:rsidRDefault="002062F1" w:rsidP="00A47E58">
      <w:pPr>
        <w:pStyle w:val="Listeavsnitt"/>
        <w:numPr>
          <w:ilvl w:val="0"/>
          <w:numId w:val="7"/>
        </w:numPr>
        <w:spacing w:after="0" w:line="240" w:lineRule="auto"/>
        <w:rPr>
          <w:szCs w:val="20"/>
        </w:rPr>
      </w:pPr>
      <w:r>
        <w:rPr>
          <w:szCs w:val="20"/>
        </w:rPr>
        <w:t>Veileder i sikkerhetsstyring</w:t>
      </w:r>
    </w:p>
    <w:p w14:paraId="191108DF" w14:textId="77777777" w:rsidR="002062F1" w:rsidRDefault="002062F1" w:rsidP="00A47E58">
      <w:pPr>
        <w:pStyle w:val="Listeavsnitt"/>
        <w:numPr>
          <w:ilvl w:val="0"/>
          <w:numId w:val="8"/>
        </w:numPr>
        <w:spacing w:after="0" w:line="240" w:lineRule="auto"/>
        <w:rPr>
          <w:szCs w:val="20"/>
        </w:rPr>
      </w:pPr>
      <w:r>
        <w:rPr>
          <w:szCs w:val="20"/>
        </w:rPr>
        <w:t>Veiledning i risikovurderinger</w:t>
      </w:r>
    </w:p>
    <w:p w14:paraId="3D8E1C71" w14:textId="77777777" w:rsidR="002062F1" w:rsidRDefault="002062F1" w:rsidP="00A47E58">
      <w:pPr>
        <w:pStyle w:val="Listeavsnitt"/>
        <w:numPr>
          <w:ilvl w:val="0"/>
          <w:numId w:val="8"/>
        </w:numPr>
        <w:spacing w:line="240" w:lineRule="auto"/>
        <w:rPr>
          <w:szCs w:val="20"/>
        </w:rPr>
      </w:pPr>
      <w:r>
        <w:rPr>
          <w:szCs w:val="20"/>
        </w:rPr>
        <w:t>Veiledning i sikkerhetsrevisjoner</w:t>
      </w:r>
    </w:p>
    <w:p w14:paraId="0FE5F531" w14:textId="77777777" w:rsidR="002062F1" w:rsidRDefault="002062F1" w:rsidP="002062F1">
      <w:pPr>
        <w:spacing w:after="0" w:line="240" w:lineRule="auto"/>
        <w:rPr>
          <w:szCs w:val="20"/>
        </w:rPr>
      </w:pPr>
      <w:r>
        <w:rPr>
          <w:szCs w:val="20"/>
        </w:rPr>
        <w:t xml:space="preserve">Veiledninger fra NSM til den nye sikkerhetsloven blir publisert fortløpende i 2019 på NSM sine sider, se </w:t>
      </w:r>
      <w:hyperlink r:id="rId8" w:history="1">
        <w:r>
          <w:rPr>
            <w:rStyle w:val="Hyperkobling"/>
            <w:szCs w:val="20"/>
          </w:rPr>
          <w:t>https://www.nsm.stat.no/publikasjoner/regelverk/veiledninger/</w:t>
        </w:r>
      </w:hyperlink>
      <w:r>
        <w:rPr>
          <w:szCs w:val="20"/>
        </w:rPr>
        <w:t>. Så langt de passer kan veiledninger utarbeidet til tidligere sikkerhetslov benyttes inntil nye foreligger.</w:t>
      </w:r>
    </w:p>
    <w:p w14:paraId="03FC1FFD" w14:textId="77777777" w:rsidR="002062F1" w:rsidRDefault="002062F1" w:rsidP="002062F1">
      <w:pPr>
        <w:spacing w:before="240"/>
        <w:rPr>
          <w:sz w:val="2"/>
          <w:szCs w:val="20"/>
        </w:rPr>
      </w:pPr>
    </w:p>
    <w:p w14:paraId="7A63CF73" w14:textId="01BCAE56" w:rsidR="002062F1" w:rsidRDefault="002062F1" w:rsidP="00A47E58">
      <w:pPr>
        <w:pStyle w:val="Overskrift1"/>
        <w:numPr>
          <w:ilvl w:val="0"/>
          <w:numId w:val="5"/>
        </w:numPr>
        <w:spacing w:line="256" w:lineRule="auto"/>
        <w:rPr>
          <w:sz w:val="22"/>
          <w:szCs w:val="20"/>
        </w:rPr>
      </w:pPr>
      <w:bookmarkStart w:id="19" w:name="_Toc57316038"/>
      <w:r>
        <w:t>Sikkerhetsgraderte anskaffelser</w:t>
      </w:r>
      <w:bookmarkEnd w:id="19"/>
    </w:p>
    <w:p w14:paraId="621A64DD" w14:textId="77777777" w:rsidR="002062F1" w:rsidRDefault="002062F1" w:rsidP="002062F1">
      <w:pPr>
        <w:rPr>
          <w:szCs w:val="20"/>
        </w:rPr>
      </w:pPr>
      <w:r>
        <w:rPr>
          <w:szCs w:val="20"/>
        </w:rPr>
        <w:t xml:space="preserve">I sikkerhetsloven kapittel 9 og virksomhetsikkerhetsforskriften kapittel 13 stilles det særskilte krav til oppdragsgiver og leverandører i forbindelse med sikkerhetsgraderte anskaffelser. </w:t>
      </w:r>
    </w:p>
    <w:p w14:paraId="299C5651" w14:textId="77777777" w:rsidR="002062F1" w:rsidRDefault="002062F1" w:rsidP="002062F1">
      <w:pPr>
        <w:rPr>
          <w:szCs w:val="20"/>
        </w:rPr>
      </w:pPr>
      <w:r>
        <w:rPr>
          <w:szCs w:val="20"/>
        </w:rPr>
        <w:t>Skal leverandøren behandle eller oppbevare sikkerhetsgradert informasjon i sine egne lokaler, eller gis tilgang til skjermingsverdig objekt eller infrastruktur fra sine egne lokaler, må leverandøren oppfylle de krav som sikkerhetsloven med forskrifter stiller til virksomheter med tilsvarende mulighet til å råde over samme informasjon, objekt eller infrastruktur. Det understrekes at underleverandører med samme tilgang også må oppfylle kravene i sikkerhetsloven med forskrifter.</w:t>
      </w:r>
    </w:p>
    <w:p w14:paraId="6DA827B5" w14:textId="77777777" w:rsidR="002062F1" w:rsidRDefault="002062F1" w:rsidP="002062F1">
      <w:pPr>
        <w:rPr>
          <w:sz w:val="2"/>
          <w:szCs w:val="20"/>
        </w:rPr>
      </w:pPr>
    </w:p>
    <w:p w14:paraId="67083321" w14:textId="548BE882" w:rsidR="002062F1" w:rsidRDefault="002062F1" w:rsidP="00A47E58">
      <w:pPr>
        <w:pStyle w:val="Overskrift1"/>
        <w:numPr>
          <w:ilvl w:val="0"/>
          <w:numId w:val="5"/>
        </w:numPr>
        <w:spacing w:line="256" w:lineRule="auto"/>
        <w:rPr>
          <w:sz w:val="22"/>
          <w:szCs w:val="20"/>
        </w:rPr>
      </w:pPr>
      <w:bookmarkStart w:id="20" w:name="_Toc57316039"/>
      <w:r>
        <w:t>Sikkerhetsgraderte anskaffelser på BEGRENSET nivå</w:t>
      </w:r>
      <w:bookmarkEnd w:id="20"/>
    </w:p>
    <w:p w14:paraId="409E53E0" w14:textId="4E5A67F4" w:rsidR="002062F1" w:rsidRDefault="002062F1" w:rsidP="00A47E58">
      <w:pPr>
        <w:pStyle w:val="Overskrift2"/>
        <w:numPr>
          <w:ilvl w:val="1"/>
          <w:numId w:val="5"/>
        </w:numPr>
        <w:spacing w:after="0" w:line="256" w:lineRule="auto"/>
      </w:pPr>
      <w:bookmarkStart w:id="21" w:name="_Toc57316040"/>
      <w:r>
        <w:t>Forsvarlig sikkerhetsnivå for informasjon som er gradert BEGRENSET</w:t>
      </w:r>
      <w:bookmarkEnd w:id="21"/>
      <w:r>
        <w:t xml:space="preserve"> </w:t>
      </w:r>
    </w:p>
    <w:p w14:paraId="15049EE1" w14:textId="77777777" w:rsidR="002062F1" w:rsidRDefault="002062F1" w:rsidP="002062F1">
      <w:pPr>
        <w:spacing w:line="240" w:lineRule="auto"/>
        <w:rPr>
          <w:szCs w:val="20"/>
        </w:rPr>
      </w:pPr>
      <w:r>
        <w:rPr>
          <w:szCs w:val="20"/>
        </w:rPr>
        <w:t xml:space="preserve">For beskyttelse av informasjon gradert BEGRENSET, er kravet til forsvarlig sikkerhetsnivå oppfylt dersom informasjonen med enkle midler ikke kan bli kjent for uautoriserte personer. Dette kravet kommer i tillegg til ovennevnte krav som gjelder for beskyttelse av skjermingsverdig ugradert informasjon. Ved valg av sikkerhetstiltak skal leverandøren se behovet for å beskytte informasjonens konfidensialitet, integritet og tilgjengelighet i sammenheng og veie hensynene mot hverandre. </w:t>
      </w:r>
    </w:p>
    <w:p w14:paraId="6D4FE3CB" w14:textId="77777777" w:rsidR="002062F1" w:rsidRDefault="002062F1" w:rsidP="002062F1">
      <w:pPr>
        <w:spacing w:line="240" w:lineRule="auto"/>
        <w:rPr>
          <w:szCs w:val="20"/>
        </w:rPr>
      </w:pPr>
      <w:r>
        <w:rPr>
          <w:szCs w:val="20"/>
        </w:rPr>
        <w:t>Generelle krav som gjelder vurdering og håndtering av risiko og iverksettelse av forebyggende sikkerhetstiltak, er gitt i virksomhetsikkerhetsforskriften kapittel 3 og 7.</w:t>
      </w:r>
    </w:p>
    <w:p w14:paraId="2CE2DC95" w14:textId="6E8BD6D0" w:rsidR="002062F1" w:rsidRDefault="002062F1" w:rsidP="00A47E58">
      <w:pPr>
        <w:pStyle w:val="Overskrift3"/>
        <w:numPr>
          <w:ilvl w:val="2"/>
          <w:numId w:val="5"/>
        </w:numPr>
        <w:spacing w:after="0" w:line="256" w:lineRule="auto"/>
        <w:ind w:left="851"/>
        <w:rPr>
          <w:szCs w:val="20"/>
        </w:rPr>
      </w:pPr>
      <w:r>
        <w:t xml:space="preserve"> </w:t>
      </w:r>
      <w:bookmarkStart w:id="22" w:name="_Toc57316041"/>
      <w:r>
        <w:t>Autorisasjon</w:t>
      </w:r>
      <w:bookmarkEnd w:id="22"/>
    </w:p>
    <w:p w14:paraId="16350118" w14:textId="77777777" w:rsidR="002062F1" w:rsidRDefault="002062F1" w:rsidP="002062F1">
      <w:pPr>
        <w:spacing w:after="0" w:line="240" w:lineRule="auto"/>
        <w:rPr>
          <w:szCs w:val="20"/>
        </w:rPr>
      </w:pPr>
      <w:r>
        <w:rPr>
          <w:szCs w:val="20"/>
        </w:rPr>
        <w:t xml:space="preserve">Leverandørens daglig leder skal autoriseres av </w:t>
      </w:r>
      <w:r>
        <w:rPr>
          <w:rFonts w:ascii="Calibri" w:hAnsi="Calibri"/>
          <w:szCs w:val="20"/>
        </w:rPr>
        <w:t>oppdragsgiver</w:t>
      </w:r>
      <w:r>
        <w:rPr>
          <w:szCs w:val="20"/>
        </w:rPr>
        <w:t xml:space="preserve"> før sikkerhetsavtale inngås. Daglig leder er autorisasjonsansvarlig og har ansvaret for at eget personell som skal ha tilgang til informasjon gradert BEGRENSET som oppbevares i leverandørens lokaler, er autorisert før tilgang gis. Det skal gjennomføres en autorisasjonssamtale før det gis autorisasjon. Krav til autorisasjonssamtalens innhold er gitt i virksomhetsikkerhetsforskriften § 68 andre ledd. Den som skal autoriseres skal signere en taushetserklæring på skjema, fastsatt av NSM, før det gis autorisasjon.</w:t>
      </w:r>
    </w:p>
    <w:p w14:paraId="0A77BBB5" w14:textId="77777777" w:rsidR="002062F1" w:rsidRDefault="002062F1" w:rsidP="002062F1">
      <w:pPr>
        <w:spacing w:after="0" w:line="240" w:lineRule="auto"/>
        <w:rPr>
          <w:szCs w:val="20"/>
        </w:rPr>
      </w:pPr>
    </w:p>
    <w:p w14:paraId="2E68B4E5" w14:textId="77777777" w:rsidR="002062F1" w:rsidRDefault="002062F1" w:rsidP="002062F1">
      <w:pPr>
        <w:spacing w:line="240" w:lineRule="auto"/>
        <w:rPr>
          <w:szCs w:val="20"/>
        </w:rPr>
      </w:pPr>
      <w:r>
        <w:rPr>
          <w:szCs w:val="20"/>
        </w:rPr>
        <w:t xml:space="preserve">Daglig leder er også ansvarlig for sikkerhetsmessig ledelse og kontroll av eget personell som er autorisert. </w:t>
      </w:r>
    </w:p>
    <w:p w14:paraId="01F07A21" w14:textId="77777777" w:rsidR="002062F1" w:rsidRDefault="002062F1" w:rsidP="002062F1">
      <w:pPr>
        <w:spacing w:line="240" w:lineRule="auto"/>
        <w:rPr>
          <w:szCs w:val="20"/>
        </w:rPr>
      </w:pPr>
      <w:r>
        <w:rPr>
          <w:szCs w:val="20"/>
        </w:rPr>
        <w:t xml:space="preserve">Informasjon som inneholder personopplysninger i saker om autorisasjon, personkontroll eller klarering, skal merkes PERSONKONTROLL. Kravet gjelder ikke meldinger om at det er gitt en autorisasjon eller klarering eller meldinger om andre autorisasjons- eller klareringsavgjørelser til personen som avgjørelsen gjelder. </w:t>
      </w:r>
    </w:p>
    <w:p w14:paraId="0189FBAA" w14:textId="77777777" w:rsidR="002062F1" w:rsidRDefault="002062F1" w:rsidP="002062F1">
      <w:pPr>
        <w:spacing w:line="240" w:lineRule="auto"/>
        <w:rPr>
          <w:szCs w:val="20"/>
        </w:rPr>
      </w:pPr>
      <w:r>
        <w:rPr>
          <w:szCs w:val="20"/>
        </w:rPr>
        <w:t>Den autorisasjonsansvarlige skal bestemme hvem i virksomheten som kan få tilgang til opplysninger merket PERSONKONTROLL. Slike opplysninger skal lagres atskilt fra andre opplysninger i virksomheten, og de skal bare være tilgjengelige for det utpekte personellets. Når virksomheten utveksler opplysninger merket PERSONKONTROLL, skal det gjøres på en slik måte at uvedkommende ikke får tilgang til opplysningene.</w:t>
      </w:r>
    </w:p>
    <w:p w14:paraId="25885AAA" w14:textId="77777777" w:rsidR="002062F1" w:rsidRDefault="002062F1" w:rsidP="002062F1">
      <w:pPr>
        <w:spacing w:line="240" w:lineRule="auto"/>
        <w:rPr>
          <w:szCs w:val="20"/>
        </w:rPr>
      </w:pPr>
      <w:r>
        <w:rPr>
          <w:szCs w:val="20"/>
        </w:rPr>
        <w:lastRenderedPageBreak/>
        <w:t>Den som skal autoriseres skal signere en taushetserklæring på blankett fastsatt av NSM før det gis autorisasjon.</w:t>
      </w:r>
    </w:p>
    <w:p w14:paraId="7B0AF52E" w14:textId="2829A400" w:rsidR="002062F1" w:rsidRDefault="002062F1" w:rsidP="00A47E58">
      <w:pPr>
        <w:pStyle w:val="Overskrift3"/>
        <w:numPr>
          <w:ilvl w:val="2"/>
          <w:numId w:val="5"/>
        </w:numPr>
        <w:spacing w:after="0" w:line="256" w:lineRule="auto"/>
        <w:ind w:left="851"/>
        <w:rPr>
          <w:szCs w:val="20"/>
        </w:rPr>
      </w:pPr>
      <w:r>
        <w:t xml:space="preserve"> </w:t>
      </w:r>
      <w:bookmarkStart w:id="23" w:name="_Toc57316042"/>
      <w:r>
        <w:t>Autorisasjon av utenlandsk statsborger</w:t>
      </w:r>
      <w:bookmarkEnd w:id="23"/>
    </w:p>
    <w:p w14:paraId="6E6CD311" w14:textId="77777777" w:rsidR="002062F1" w:rsidRDefault="002062F1" w:rsidP="002062F1">
      <w:pPr>
        <w:rPr>
          <w:szCs w:val="20"/>
        </w:rPr>
      </w:pPr>
      <w:r>
        <w:rPr>
          <w:szCs w:val="20"/>
        </w:rPr>
        <w:t>Før en utenlandsk statsborger som ikke har klarering, kan autoriseres for informasjon gradert BEGRENSET, skal den autorisasjonsansvarlige vurdere om personens tilknytning til hjemlandet og hjemlandets sikkerhetsmessige betydning utgjør en uakseptabel risiko. Den autorisasjonsansvarlige kan be klareringsmyndigheten om en vurdering av hjemlandets sikkerhetsmessige betydning.</w:t>
      </w:r>
    </w:p>
    <w:p w14:paraId="5FEA243E" w14:textId="77777777" w:rsidR="002062F1" w:rsidRDefault="002062F1" w:rsidP="002062F1">
      <w:pPr>
        <w:rPr>
          <w:szCs w:val="20"/>
        </w:rPr>
      </w:pPr>
      <w:r>
        <w:rPr>
          <w:szCs w:val="20"/>
        </w:rPr>
        <w:t>Dersom en utenlandsk statsborger kommer fra en stat som Politiets sikkerhetstjeneste (PST) mener utgjør en høy sikkerhetsrisiko for Norge, må den autorisasjonsansvarlige innhente samtykke fra en klareringsmyndighet før den utenlandske statsborgeren kan autoriseres for BEGRENSET. Dette kravet gjelder også for personer som har dobbelt statsborgerskap (hvorav det ene er norsk), er statsløse eller har uavklart statsborgerskap.</w:t>
      </w:r>
    </w:p>
    <w:p w14:paraId="347D3C1C" w14:textId="77777777" w:rsidR="002062F1" w:rsidRDefault="002062F1" w:rsidP="002062F1">
      <w:pPr>
        <w:rPr>
          <w:szCs w:val="20"/>
        </w:rPr>
      </w:pPr>
      <w:r>
        <w:rPr>
          <w:szCs w:val="20"/>
        </w:rPr>
        <w:t xml:space="preserve">Det gjøres oppmerksom på at det er leverandørens risiko at autorisasjon ikke oppnås. Han har også risikoen for at autorisasjon tar uforholdsmessig lang tid, med mindre forsinkelsen skyldes forhold </w:t>
      </w:r>
      <w:r>
        <w:rPr>
          <w:rFonts w:ascii="Calibri" w:hAnsi="Calibri"/>
          <w:szCs w:val="20"/>
        </w:rPr>
        <w:t>oppdragsgiver</w:t>
      </w:r>
      <w:r>
        <w:rPr>
          <w:szCs w:val="20"/>
        </w:rPr>
        <w:t xml:space="preserve"> svarer for.</w:t>
      </w:r>
    </w:p>
    <w:p w14:paraId="4377D2FE" w14:textId="47B0BF40" w:rsidR="002062F1" w:rsidRDefault="002062F1" w:rsidP="00A47E58">
      <w:pPr>
        <w:pStyle w:val="Overskrift3"/>
        <w:numPr>
          <w:ilvl w:val="2"/>
          <w:numId w:val="5"/>
        </w:numPr>
        <w:spacing w:after="0" w:line="256" w:lineRule="auto"/>
        <w:ind w:left="851"/>
        <w:rPr>
          <w:szCs w:val="20"/>
        </w:rPr>
      </w:pPr>
      <w:r>
        <w:t xml:space="preserve"> </w:t>
      </w:r>
      <w:bookmarkStart w:id="24" w:name="_Toc57316043"/>
      <w:r>
        <w:t>Beskyttelse av skjermingsverdige informasjonssystemer</w:t>
      </w:r>
      <w:bookmarkEnd w:id="24"/>
    </w:p>
    <w:p w14:paraId="66E6256D" w14:textId="77777777" w:rsidR="002062F1" w:rsidRDefault="002062F1" w:rsidP="002062F1">
      <w:pPr>
        <w:spacing w:line="240" w:lineRule="auto"/>
        <w:rPr>
          <w:szCs w:val="20"/>
        </w:rPr>
      </w:pPr>
      <w:r>
        <w:rPr>
          <w:rFonts w:eastAsia="Times New Roman" w:cs="Times New Roman"/>
          <w:szCs w:val="20"/>
        </w:rPr>
        <w:t xml:space="preserve">Leverandøren skal sørge for et forsvarlig sikkerhetsnivå for skjermingsverdige informasjonssystemer. I virksomhetsikkerhetsforskiften § 49 stilles det funksjonelle krav for skjermingsverdig informasjonssystemer.  </w:t>
      </w:r>
    </w:p>
    <w:p w14:paraId="2636A78F" w14:textId="41F91D43" w:rsidR="002062F1" w:rsidRDefault="002062F1" w:rsidP="00A47E58">
      <w:pPr>
        <w:pStyle w:val="Overskrift3"/>
        <w:numPr>
          <w:ilvl w:val="2"/>
          <w:numId w:val="5"/>
        </w:numPr>
        <w:spacing w:after="0" w:line="256" w:lineRule="auto"/>
        <w:ind w:left="851"/>
        <w:rPr>
          <w:szCs w:val="20"/>
        </w:rPr>
      </w:pPr>
      <w:r>
        <w:t xml:space="preserve"> </w:t>
      </w:r>
      <w:bookmarkStart w:id="25" w:name="_Toc57316044"/>
      <w:r>
        <w:t>Dokumentasjon av at kravet til forsvarlig sikkerhetsnivå er oppnådd</w:t>
      </w:r>
      <w:bookmarkEnd w:id="25"/>
      <w:r>
        <w:t xml:space="preserve"> </w:t>
      </w:r>
    </w:p>
    <w:p w14:paraId="19C6CE13" w14:textId="77777777" w:rsidR="002062F1" w:rsidRDefault="002062F1" w:rsidP="002062F1">
      <w:pPr>
        <w:spacing w:line="240" w:lineRule="auto"/>
        <w:rPr>
          <w:szCs w:val="20"/>
        </w:rPr>
      </w:pPr>
      <w:r>
        <w:rPr>
          <w:szCs w:val="20"/>
        </w:rPr>
        <w:t xml:space="preserve">Før sikkerhetsavtale kan inngås skal leverandøren dokumentere at han på en tilfredsstillende måte både har vurdert og håndtert risiko og hvilke sikkerhetstiltak som er etablert for </w:t>
      </w:r>
    </w:p>
    <w:p w14:paraId="7ADC806C" w14:textId="77777777" w:rsidR="002062F1" w:rsidRDefault="002062F1" w:rsidP="00A47E58">
      <w:pPr>
        <w:pStyle w:val="Listeavsnitt"/>
        <w:numPr>
          <w:ilvl w:val="0"/>
          <w:numId w:val="9"/>
        </w:numPr>
        <w:spacing w:after="0" w:line="240" w:lineRule="auto"/>
        <w:rPr>
          <w:szCs w:val="20"/>
        </w:rPr>
      </w:pPr>
      <w:r>
        <w:rPr>
          <w:szCs w:val="20"/>
        </w:rPr>
        <w:t>lokaler som skal brukes til oppbevaring og behandling av dokumenter og lagringsmedier inneholdende informasjon gradert BEGRENSET</w:t>
      </w:r>
    </w:p>
    <w:p w14:paraId="7837A10C" w14:textId="77777777" w:rsidR="002062F1" w:rsidRDefault="002062F1" w:rsidP="00A47E58">
      <w:pPr>
        <w:pStyle w:val="Listeavsnitt"/>
        <w:numPr>
          <w:ilvl w:val="0"/>
          <w:numId w:val="9"/>
        </w:numPr>
        <w:spacing w:line="240" w:lineRule="auto"/>
        <w:rPr>
          <w:szCs w:val="20"/>
        </w:rPr>
      </w:pPr>
      <w:r>
        <w:rPr>
          <w:szCs w:val="20"/>
        </w:rPr>
        <w:t>informasjonssystemer som skal brukes til behandling av informasjon gradert BEGRENSET</w:t>
      </w:r>
    </w:p>
    <w:p w14:paraId="092A4645" w14:textId="6C78F6C5" w:rsidR="002062F1" w:rsidRDefault="002062F1" w:rsidP="00A47E58">
      <w:pPr>
        <w:pStyle w:val="Overskrift3"/>
        <w:numPr>
          <w:ilvl w:val="2"/>
          <w:numId w:val="5"/>
        </w:numPr>
        <w:spacing w:after="0" w:line="256" w:lineRule="auto"/>
        <w:ind w:left="851"/>
        <w:rPr>
          <w:szCs w:val="20"/>
        </w:rPr>
      </w:pPr>
      <w:r>
        <w:t xml:space="preserve"> </w:t>
      </w:r>
      <w:bookmarkStart w:id="26" w:name="_Toc57316045"/>
      <w:r>
        <w:t>Leverandørklarering</w:t>
      </w:r>
      <w:bookmarkEnd w:id="26"/>
    </w:p>
    <w:p w14:paraId="35D670C0" w14:textId="77777777" w:rsidR="002062F1" w:rsidRDefault="002062F1" w:rsidP="002062F1">
      <w:pPr>
        <w:spacing w:line="240" w:lineRule="auto"/>
        <w:rPr>
          <w:szCs w:val="20"/>
        </w:rPr>
      </w:pPr>
      <w:r>
        <w:rPr>
          <w:szCs w:val="20"/>
        </w:rPr>
        <w:t>Leverandøren til en sikkerhetsgradert anskaffelse skal ha leverandørklarering dersom oppdragsgiver vurderer at det er nødvendig for å oppnå et forsvarlig sikkerhetsnivå under anskaffelsen. Leverandørklareringen gis av NSM.</w:t>
      </w:r>
    </w:p>
    <w:p w14:paraId="7EB04B9D" w14:textId="77777777" w:rsidR="002062F1" w:rsidRDefault="002062F1" w:rsidP="002062F1">
      <w:pPr>
        <w:spacing w:line="240" w:lineRule="auto"/>
        <w:rPr>
          <w:szCs w:val="20"/>
        </w:rPr>
      </w:pPr>
      <w:r>
        <w:rPr>
          <w:szCs w:val="20"/>
        </w:rPr>
        <w:t xml:space="preserve">Før leverandørklarering kan gis skal NSM kontrollere at leverandøren oppfyller kravene i sikkerhetsloven, virksomhetsikkerhetsforskriften og klareringsforskriften. </w:t>
      </w:r>
    </w:p>
    <w:p w14:paraId="4C51CC62" w14:textId="57A48D1D" w:rsidR="002062F1" w:rsidRDefault="002062F1" w:rsidP="00A47E58">
      <w:pPr>
        <w:pStyle w:val="Overskrift2"/>
        <w:numPr>
          <w:ilvl w:val="1"/>
          <w:numId w:val="5"/>
        </w:numPr>
        <w:spacing w:before="240" w:after="0" w:line="256" w:lineRule="auto"/>
        <w:rPr>
          <w:szCs w:val="20"/>
        </w:rPr>
      </w:pPr>
      <w:bookmarkStart w:id="27" w:name="_Toc57316046"/>
      <w:r>
        <w:t>Inngåelse av sikkerhetsavtale på BEGRENSET nivå</w:t>
      </w:r>
      <w:bookmarkEnd w:id="27"/>
    </w:p>
    <w:p w14:paraId="791A994D" w14:textId="77777777" w:rsidR="002062F1" w:rsidRDefault="002062F1" w:rsidP="002062F1">
      <w:pPr>
        <w:spacing w:line="240" w:lineRule="auto"/>
        <w:rPr>
          <w:szCs w:val="20"/>
        </w:rPr>
      </w:pPr>
      <w:r>
        <w:rPr>
          <w:szCs w:val="20"/>
        </w:rPr>
        <w:t xml:space="preserve">Sikkerhetsavtale mellom </w:t>
      </w:r>
      <w:r>
        <w:rPr>
          <w:rFonts w:ascii="Calibri" w:hAnsi="Calibri"/>
          <w:szCs w:val="20"/>
        </w:rPr>
        <w:t>oppdragsgiver</w:t>
      </w:r>
      <w:r>
        <w:rPr>
          <w:szCs w:val="20"/>
        </w:rPr>
        <w:t xml:space="preserve"> og leverandøren skal inngås </w:t>
      </w:r>
      <w:r>
        <w:rPr>
          <w:b/>
          <w:szCs w:val="20"/>
        </w:rPr>
        <w:t>før</w:t>
      </w:r>
      <w:r>
        <w:rPr>
          <w:szCs w:val="20"/>
        </w:rPr>
        <w:t xml:space="preserve"> leverandøren kan oppbevare, behandle eller tilvirke informasjon gradert BEGRENSET i sine egne lokaler. Sikkerhetsavtale skal også inngås dersom leverandøren kan gis tilgang til skjermingsverdig objekt eller infrastruktur i eller fra sine egne lokaler.</w:t>
      </w:r>
    </w:p>
    <w:p w14:paraId="0C7806AD" w14:textId="66CE303F" w:rsidR="002062F1" w:rsidRDefault="002062F1" w:rsidP="00A47E58">
      <w:pPr>
        <w:pStyle w:val="Overskrift3"/>
        <w:numPr>
          <w:ilvl w:val="2"/>
          <w:numId w:val="5"/>
        </w:numPr>
        <w:spacing w:after="0" w:line="256" w:lineRule="auto"/>
        <w:ind w:left="851"/>
        <w:rPr>
          <w:szCs w:val="20"/>
        </w:rPr>
      </w:pPr>
      <w:bookmarkStart w:id="28" w:name="_Toc57316047"/>
      <w:r>
        <w:t>Unntak fra krav om sikkerhetsavtale</w:t>
      </w:r>
      <w:bookmarkEnd w:id="28"/>
    </w:p>
    <w:p w14:paraId="73A4DD4E" w14:textId="77777777" w:rsidR="002062F1" w:rsidRDefault="002062F1" w:rsidP="002062F1">
      <w:pPr>
        <w:spacing w:after="0" w:line="240" w:lineRule="auto"/>
        <w:rPr>
          <w:szCs w:val="20"/>
        </w:rPr>
      </w:pPr>
      <w:r>
        <w:rPr>
          <w:szCs w:val="20"/>
        </w:rPr>
        <w:t xml:space="preserve">Det kreves ikke sikkerhetsavtale dersom leverandørens personell bare skal gis tilgang til sikkerhetsgradert informasjon, skjermingsverdige objekter eller infrastruktur under oppsyn av en representant for oppdragsgiver. I «Veiledning for sikkerhetsgraderte anskaffelser» klargjøres det for hva som menes med «oppsyn». </w:t>
      </w:r>
    </w:p>
    <w:p w14:paraId="16CAFDF6" w14:textId="77777777" w:rsidR="002062F1" w:rsidRDefault="002062F1" w:rsidP="002062F1">
      <w:pPr>
        <w:spacing w:before="240" w:line="240" w:lineRule="auto"/>
        <w:rPr>
          <w:szCs w:val="20"/>
        </w:rPr>
      </w:pPr>
      <w:r>
        <w:rPr>
          <w:szCs w:val="20"/>
        </w:rPr>
        <w:t xml:space="preserve">For å oppnå et forsvarlig sikkerhetsnivå under anskaffelsen kan </w:t>
      </w:r>
      <w:r>
        <w:rPr>
          <w:rFonts w:ascii="Calibri" w:hAnsi="Calibri"/>
          <w:szCs w:val="20"/>
        </w:rPr>
        <w:t>oppdragsgiver,</w:t>
      </w:r>
      <w:r>
        <w:rPr>
          <w:szCs w:val="20"/>
        </w:rPr>
        <w:t xml:space="preserve"> med bakgrunn i risikovurdering, beslutte at sikkerhetsavtale skal inngås selv om kravet til oppsyn er oppfylt.</w:t>
      </w:r>
    </w:p>
    <w:p w14:paraId="047D8D54" w14:textId="7CF2AB30" w:rsidR="002062F1" w:rsidRDefault="002062F1" w:rsidP="00A47E58">
      <w:pPr>
        <w:pStyle w:val="Overskrift3"/>
        <w:numPr>
          <w:ilvl w:val="2"/>
          <w:numId w:val="5"/>
        </w:numPr>
        <w:spacing w:after="0" w:line="256" w:lineRule="auto"/>
        <w:ind w:left="851"/>
        <w:rPr>
          <w:szCs w:val="20"/>
        </w:rPr>
      </w:pPr>
      <w:bookmarkStart w:id="29" w:name="_Toc57316048"/>
      <w:r>
        <w:t>Innholdet i sikkerhetsavtalen</w:t>
      </w:r>
      <w:bookmarkEnd w:id="29"/>
    </w:p>
    <w:p w14:paraId="5FA38384" w14:textId="77777777" w:rsidR="002062F1" w:rsidRDefault="002062F1" w:rsidP="002062F1">
      <w:pPr>
        <w:rPr>
          <w:szCs w:val="20"/>
        </w:rPr>
      </w:pPr>
      <w:r>
        <w:rPr>
          <w:szCs w:val="20"/>
        </w:rPr>
        <w:t>Sikkerhetsavtalen skal tydeliggjøre og konkretisere partenes plikter og ansvar etter sikkerhetsloven med forskrifter. Sikkerhetsavtale skal inngås for hver enkelt sikkerhetsgradert anskaffelse.</w:t>
      </w:r>
    </w:p>
    <w:p w14:paraId="1EF93B0B" w14:textId="77777777" w:rsidR="002062F1" w:rsidRDefault="002062F1" w:rsidP="002062F1">
      <w:pPr>
        <w:rPr>
          <w:szCs w:val="20"/>
        </w:rPr>
      </w:pPr>
      <w:r>
        <w:rPr>
          <w:szCs w:val="20"/>
        </w:rPr>
        <w:t xml:space="preserve">I virksomhetsikkerhetsforskriften § 80 stilles det krav til innholdet i sikkerhetsavtalen. </w:t>
      </w:r>
    </w:p>
    <w:p w14:paraId="69256BFA" w14:textId="77777777" w:rsidR="002062F1" w:rsidRDefault="002062F1" w:rsidP="002062F1">
      <w:pPr>
        <w:spacing w:after="0"/>
        <w:rPr>
          <w:szCs w:val="20"/>
        </w:rPr>
      </w:pPr>
      <w:r>
        <w:rPr>
          <w:szCs w:val="20"/>
        </w:rPr>
        <w:lastRenderedPageBreak/>
        <w:t xml:space="preserve">Ved inngåelse av sikkerhetsavtale på BEGRENSET nivå vil </w:t>
      </w:r>
      <w:r>
        <w:rPr>
          <w:rFonts w:ascii="Calibri" w:hAnsi="Calibri"/>
          <w:szCs w:val="20"/>
        </w:rPr>
        <w:t>oppdragsgiver</w:t>
      </w:r>
      <w:r>
        <w:rPr>
          <w:szCs w:val="20"/>
        </w:rPr>
        <w:t xml:space="preserve"> påse at leverandøren forplikter seg til å:</w:t>
      </w:r>
    </w:p>
    <w:p w14:paraId="5BAC55A6" w14:textId="77777777" w:rsidR="002062F1" w:rsidRDefault="002062F1" w:rsidP="00A47E58">
      <w:pPr>
        <w:pStyle w:val="Listeavsnitt"/>
        <w:numPr>
          <w:ilvl w:val="0"/>
          <w:numId w:val="10"/>
        </w:numPr>
        <w:spacing w:line="256" w:lineRule="auto"/>
        <w:rPr>
          <w:szCs w:val="20"/>
        </w:rPr>
      </w:pPr>
      <w:r>
        <w:rPr>
          <w:szCs w:val="20"/>
        </w:rPr>
        <w:t>vedlikeholde styringssystemet for sikkerhet</w:t>
      </w:r>
    </w:p>
    <w:p w14:paraId="7D5E967F" w14:textId="77777777" w:rsidR="002062F1" w:rsidRDefault="002062F1" w:rsidP="00A47E58">
      <w:pPr>
        <w:pStyle w:val="Listeavsnitt"/>
        <w:numPr>
          <w:ilvl w:val="0"/>
          <w:numId w:val="10"/>
        </w:numPr>
        <w:spacing w:line="256" w:lineRule="auto"/>
        <w:rPr>
          <w:szCs w:val="20"/>
        </w:rPr>
      </w:pPr>
      <w:r>
        <w:rPr>
          <w:szCs w:val="20"/>
        </w:rPr>
        <w:t>regelmessig gjennomføre vurdering av risiko og håndtere risiko</w:t>
      </w:r>
    </w:p>
    <w:p w14:paraId="30C07422" w14:textId="77777777" w:rsidR="002062F1" w:rsidRDefault="002062F1" w:rsidP="00A47E58">
      <w:pPr>
        <w:pStyle w:val="Listeavsnitt"/>
        <w:numPr>
          <w:ilvl w:val="0"/>
          <w:numId w:val="10"/>
        </w:numPr>
        <w:spacing w:line="256" w:lineRule="auto"/>
        <w:rPr>
          <w:szCs w:val="20"/>
        </w:rPr>
      </w:pPr>
      <w:r>
        <w:rPr>
          <w:szCs w:val="20"/>
        </w:rPr>
        <w:t>påse at sikkerhetstiltak (fysiske, elektroniske, menneskelige og organisatoriske) for sikkerhetsgradert informasjon og informasjonssystemer som skal behandle slik informasjon, er tilpasset aktuell risiko og oppfyller kravet til forsvarlig sikkerhetsnivå</w:t>
      </w:r>
    </w:p>
    <w:p w14:paraId="623408B4" w14:textId="77777777" w:rsidR="002062F1" w:rsidRDefault="002062F1" w:rsidP="00A47E58">
      <w:pPr>
        <w:pStyle w:val="Listeavsnitt"/>
        <w:numPr>
          <w:ilvl w:val="0"/>
          <w:numId w:val="10"/>
        </w:numPr>
        <w:spacing w:line="256" w:lineRule="auto"/>
        <w:rPr>
          <w:szCs w:val="20"/>
        </w:rPr>
      </w:pPr>
      <w:r>
        <w:rPr>
          <w:szCs w:val="20"/>
        </w:rPr>
        <w:t xml:space="preserve">påse at eget personell, før de gis tilgang til sikkerhetsgradert informasjon og skjermingsverdige informasjonssystemer, har gjennomført grunnleggende opplæring i sikkerhet </w:t>
      </w:r>
    </w:p>
    <w:p w14:paraId="013EBEC1" w14:textId="77777777" w:rsidR="002062F1" w:rsidRDefault="002062F1" w:rsidP="00A47E58">
      <w:pPr>
        <w:pStyle w:val="Listeavsnitt"/>
        <w:numPr>
          <w:ilvl w:val="0"/>
          <w:numId w:val="10"/>
        </w:numPr>
        <w:spacing w:line="256" w:lineRule="auto"/>
        <w:rPr>
          <w:szCs w:val="20"/>
        </w:rPr>
      </w:pPr>
      <w:r>
        <w:rPr>
          <w:szCs w:val="20"/>
        </w:rPr>
        <w:t>gjøre styringsdokument for sikkerhet og relevante sikkerhetsinstrukser for rutiner og prosedyrer kjent og tilgjengelig for eget personell</w:t>
      </w:r>
    </w:p>
    <w:p w14:paraId="5F28B207" w14:textId="77777777" w:rsidR="002062F1" w:rsidRDefault="002062F1" w:rsidP="00A47E58">
      <w:pPr>
        <w:pStyle w:val="Listeavsnitt"/>
        <w:numPr>
          <w:ilvl w:val="0"/>
          <w:numId w:val="10"/>
        </w:numPr>
        <w:spacing w:line="256" w:lineRule="auto"/>
        <w:rPr>
          <w:szCs w:val="20"/>
        </w:rPr>
      </w:pPr>
      <w:r>
        <w:rPr>
          <w:szCs w:val="20"/>
        </w:rPr>
        <w:t>oppfylle kravene for autorisasjonssamtale og autorisasjon av eget personell som har tjenstlig behov for tilgang til sikkerhetsgradert informasjon og skjermingsverdig informasjonssystem som leverandøren har i sine egne lokaler</w:t>
      </w:r>
    </w:p>
    <w:p w14:paraId="37428E10" w14:textId="77777777" w:rsidR="002062F1" w:rsidRDefault="002062F1" w:rsidP="00A47E58">
      <w:pPr>
        <w:pStyle w:val="Listeavsnitt"/>
        <w:numPr>
          <w:ilvl w:val="0"/>
          <w:numId w:val="10"/>
        </w:numPr>
        <w:spacing w:line="256" w:lineRule="auto"/>
        <w:rPr>
          <w:szCs w:val="20"/>
        </w:rPr>
      </w:pPr>
      <w:r>
        <w:rPr>
          <w:szCs w:val="20"/>
        </w:rPr>
        <w:t>ivareta sikkerhetsmessig ledelse og kontroll av eget personell som er autorisert</w:t>
      </w:r>
    </w:p>
    <w:p w14:paraId="0F50C0C0" w14:textId="77777777" w:rsidR="002062F1" w:rsidRDefault="002062F1" w:rsidP="00A47E58">
      <w:pPr>
        <w:pStyle w:val="Listeavsnitt"/>
        <w:numPr>
          <w:ilvl w:val="0"/>
          <w:numId w:val="10"/>
        </w:numPr>
        <w:spacing w:line="256" w:lineRule="auto"/>
        <w:rPr>
          <w:szCs w:val="20"/>
        </w:rPr>
      </w:pPr>
      <w:r>
        <w:rPr>
          <w:szCs w:val="20"/>
        </w:rPr>
        <w:t xml:space="preserve">orientere </w:t>
      </w:r>
      <w:r>
        <w:rPr>
          <w:rFonts w:ascii="Calibri" w:hAnsi="Calibri"/>
          <w:szCs w:val="20"/>
        </w:rPr>
        <w:t>oppdragsgiver</w:t>
      </w:r>
      <w:r>
        <w:rPr>
          <w:szCs w:val="20"/>
        </w:rPr>
        <w:t xml:space="preserve"> om forhold som kan ha betydning for leverandørens leders sikkerhetsmessige skikkethet</w:t>
      </w:r>
    </w:p>
    <w:p w14:paraId="27FF3D6C" w14:textId="77777777" w:rsidR="002062F1" w:rsidRDefault="002062F1" w:rsidP="00A47E58">
      <w:pPr>
        <w:pStyle w:val="Listeavsnitt"/>
        <w:numPr>
          <w:ilvl w:val="0"/>
          <w:numId w:val="10"/>
        </w:numPr>
        <w:spacing w:line="256" w:lineRule="auto"/>
        <w:rPr>
          <w:szCs w:val="20"/>
        </w:rPr>
      </w:pPr>
      <w:r>
        <w:rPr>
          <w:szCs w:val="20"/>
        </w:rPr>
        <w:t>overholde taushetsplikten også etter at anskaffelsen er avsluttet</w:t>
      </w:r>
    </w:p>
    <w:p w14:paraId="05E43081" w14:textId="77777777" w:rsidR="002062F1" w:rsidRDefault="002062F1" w:rsidP="00A47E58">
      <w:pPr>
        <w:pStyle w:val="Listeavsnitt"/>
        <w:numPr>
          <w:ilvl w:val="0"/>
          <w:numId w:val="10"/>
        </w:numPr>
        <w:spacing w:line="256" w:lineRule="auto"/>
        <w:rPr>
          <w:szCs w:val="20"/>
        </w:rPr>
      </w:pPr>
      <w:r>
        <w:rPr>
          <w:szCs w:val="20"/>
        </w:rPr>
        <w:t>løpende kontrollere at sikkerhetstiltak fungerer etter sin hensikt og at sikkerhetsbestemmelser følges</w:t>
      </w:r>
    </w:p>
    <w:p w14:paraId="1E25774B" w14:textId="77777777" w:rsidR="002062F1" w:rsidRDefault="002062F1" w:rsidP="00A47E58">
      <w:pPr>
        <w:pStyle w:val="Listeavsnitt"/>
        <w:numPr>
          <w:ilvl w:val="0"/>
          <w:numId w:val="10"/>
        </w:numPr>
        <w:spacing w:line="256" w:lineRule="auto"/>
        <w:rPr>
          <w:szCs w:val="20"/>
        </w:rPr>
      </w:pPr>
      <w:r>
        <w:rPr>
          <w:szCs w:val="20"/>
        </w:rPr>
        <w:t xml:space="preserve">håndtere og rapportere avvik fra sikkerhetskrav/sikkerhetsbrudd til </w:t>
      </w:r>
      <w:r>
        <w:rPr>
          <w:rFonts w:ascii="Calibri" w:hAnsi="Calibri"/>
          <w:szCs w:val="20"/>
        </w:rPr>
        <w:t>oppdragsgiver</w:t>
      </w:r>
    </w:p>
    <w:p w14:paraId="1E5E3517" w14:textId="77777777" w:rsidR="002062F1" w:rsidRDefault="002062F1" w:rsidP="00A47E58">
      <w:pPr>
        <w:pStyle w:val="Listeavsnitt"/>
        <w:numPr>
          <w:ilvl w:val="0"/>
          <w:numId w:val="10"/>
        </w:numPr>
        <w:spacing w:line="256" w:lineRule="auto"/>
        <w:rPr>
          <w:szCs w:val="20"/>
        </w:rPr>
      </w:pPr>
      <w:r>
        <w:rPr>
          <w:szCs w:val="20"/>
        </w:rPr>
        <w:t xml:space="preserve">påse at sikkerhetsgradert informasjon ikke utleveres til tredjepart uten at samtykke fra </w:t>
      </w:r>
      <w:r>
        <w:rPr>
          <w:rFonts w:ascii="Calibri" w:hAnsi="Calibri"/>
          <w:szCs w:val="20"/>
        </w:rPr>
        <w:t>oppdragsgiver</w:t>
      </w:r>
      <w:r>
        <w:rPr>
          <w:szCs w:val="20"/>
        </w:rPr>
        <w:t xml:space="preserve"> på forhånd foreligger</w:t>
      </w:r>
    </w:p>
    <w:p w14:paraId="1F2779B7" w14:textId="77777777" w:rsidR="002062F1" w:rsidRDefault="002062F1" w:rsidP="00A47E58">
      <w:pPr>
        <w:pStyle w:val="Listeavsnitt"/>
        <w:numPr>
          <w:ilvl w:val="0"/>
          <w:numId w:val="10"/>
        </w:numPr>
        <w:spacing w:line="256" w:lineRule="auto"/>
        <w:rPr>
          <w:szCs w:val="20"/>
        </w:rPr>
      </w:pPr>
      <w:r>
        <w:rPr>
          <w:szCs w:val="20"/>
        </w:rPr>
        <w:t>ikke offentliggjøre deltakelse i sikkerhetsgradert anskaffelse på Internett eller i markedsføring</w:t>
      </w:r>
    </w:p>
    <w:p w14:paraId="48752A76" w14:textId="77777777" w:rsidR="002062F1" w:rsidRDefault="002062F1" w:rsidP="00A47E58">
      <w:pPr>
        <w:pStyle w:val="Listeavsnitt"/>
        <w:numPr>
          <w:ilvl w:val="0"/>
          <w:numId w:val="10"/>
        </w:numPr>
        <w:spacing w:line="256" w:lineRule="auto"/>
        <w:rPr>
          <w:szCs w:val="20"/>
        </w:rPr>
      </w:pPr>
      <w:r>
        <w:rPr>
          <w:szCs w:val="20"/>
        </w:rPr>
        <w:t xml:space="preserve">orientere </w:t>
      </w:r>
      <w:r>
        <w:rPr>
          <w:rFonts w:ascii="Calibri" w:hAnsi="Calibri"/>
          <w:szCs w:val="20"/>
        </w:rPr>
        <w:t>oppdragsgiver</w:t>
      </w:r>
      <w:r>
        <w:rPr>
          <w:szCs w:val="20"/>
        </w:rPr>
        <w:t xml:space="preserve"> om forhold som er av sikkerhetsmessig betydning, herunder endring av foretaksnavn, skifte av daglig leder, flytting/ombygging av lokaler, åpning av gjeldsforhandlinger, begjæring om konkurs og annet som kan påvirke leverandørens sikkerhetsmessige skikkethet</w:t>
      </w:r>
    </w:p>
    <w:p w14:paraId="51EAC78F" w14:textId="77777777" w:rsidR="002062F1" w:rsidRDefault="002062F1" w:rsidP="00A47E58">
      <w:pPr>
        <w:pStyle w:val="Listeavsnitt"/>
        <w:numPr>
          <w:ilvl w:val="0"/>
          <w:numId w:val="10"/>
        </w:numPr>
        <w:spacing w:line="256" w:lineRule="auto"/>
        <w:rPr>
          <w:szCs w:val="20"/>
        </w:rPr>
      </w:pPr>
      <w:r>
        <w:rPr>
          <w:szCs w:val="20"/>
        </w:rPr>
        <w:t xml:space="preserve">legge til rette for at </w:t>
      </w:r>
      <w:r>
        <w:rPr>
          <w:rFonts w:ascii="Calibri" w:hAnsi="Calibri"/>
          <w:szCs w:val="20"/>
        </w:rPr>
        <w:t>oppdragsgiver</w:t>
      </w:r>
      <w:r>
        <w:rPr>
          <w:szCs w:val="20"/>
        </w:rPr>
        <w:t xml:space="preserve"> kan gi råd og veiledning om forebyggende sikkerhetstjeneste</w:t>
      </w:r>
    </w:p>
    <w:p w14:paraId="36F698DC" w14:textId="77777777" w:rsidR="002062F1" w:rsidRDefault="002062F1" w:rsidP="00A47E58">
      <w:pPr>
        <w:pStyle w:val="Listeavsnitt"/>
        <w:numPr>
          <w:ilvl w:val="0"/>
          <w:numId w:val="10"/>
        </w:numPr>
        <w:spacing w:line="256" w:lineRule="auto"/>
        <w:rPr>
          <w:szCs w:val="20"/>
        </w:rPr>
      </w:pPr>
      <w:r>
        <w:rPr>
          <w:szCs w:val="20"/>
        </w:rPr>
        <w:t xml:space="preserve">legge til rette for at </w:t>
      </w:r>
      <w:r>
        <w:rPr>
          <w:rFonts w:ascii="Calibri" w:hAnsi="Calibri"/>
          <w:szCs w:val="20"/>
        </w:rPr>
        <w:t>oppdragsgiver</w:t>
      </w:r>
      <w:r>
        <w:rPr>
          <w:szCs w:val="20"/>
        </w:rPr>
        <w:t xml:space="preserve"> kan kontrollere at leverandøren oppfyller kontraktsforpliktelser knyttet til forebyggende sikkerhetstjeneste</w:t>
      </w:r>
    </w:p>
    <w:p w14:paraId="2D52F695" w14:textId="77777777" w:rsidR="002062F1" w:rsidRDefault="002062F1" w:rsidP="00A47E58">
      <w:pPr>
        <w:pStyle w:val="Listeavsnitt"/>
        <w:numPr>
          <w:ilvl w:val="0"/>
          <w:numId w:val="10"/>
        </w:numPr>
        <w:spacing w:line="256" w:lineRule="auto"/>
        <w:rPr>
          <w:szCs w:val="20"/>
        </w:rPr>
      </w:pPr>
      <w:r>
        <w:rPr>
          <w:szCs w:val="20"/>
        </w:rPr>
        <w:t>legge til rette for at NSM eller sektormyndighet med tilsynsansvar kan kontrollere sikkerhetstilstanden hos leverandøren</w:t>
      </w:r>
    </w:p>
    <w:p w14:paraId="62CA709E" w14:textId="5843F691" w:rsidR="002062F1" w:rsidRDefault="002062F1" w:rsidP="00A47E58">
      <w:pPr>
        <w:pStyle w:val="Overskrift3"/>
        <w:numPr>
          <w:ilvl w:val="2"/>
          <w:numId w:val="5"/>
        </w:numPr>
        <w:spacing w:after="0" w:line="256" w:lineRule="auto"/>
        <w:ind w:left="851"/>
        <w:rPr>
          <w:szCs w:val="20"/>
        </w:rPr>
      </w:pPr>
      <w:bookmarkStart w:id="30" w:name="_Toc57316049"/>
      <w:r>
        <w:t>Brudd på sikkerhetskrav</w:t>
      </w:r>
      <w:bookmarkEnd w:id="30"/>
    </w:p>
    <w:p w14:paraId="0B4F49F9" w14:textId="77777777" w:rsidR="002062F1" w:rsidRDefault="002062F1" w:rsidP="002062F1">
      <w:pPr>
        <w:rPr>
          <w:szCs w:val="20"/>
        </w:rPr>
      </w:pPr>
      <w:r>
        <w:rPr>
          <w:szCs w:val="20"/>
        </w:rPr>
        <w:t xml:space="preserve">Dersom leverandøren ikke retter brudd på kravene fastsatt i eller med hjemmel i sikkerhetsloven innen en fastsatt frist, kan </w:t>
      </w:r>
      <w:r>
        <w:rPr>
          <w:rFonts w:ascii="Calibri" w:hAnsi="Calibri"/>
          <w:szCs w:val="20"/>
        </w:rPr>
        <w:t>oppdragsgiver</w:t>
      </w:r>
      <w:r>
        <w:rPr>
          <w:szCs w:val="20"/>
        </w:rPr>
        <w:t xml:space="preserve"> si opp sikkerhetsavtalen. Er et brudd vesentlig, kan </w:t>
      </w:r>
      <w:r>
        <w:rPr>
          <w:rFonts w:ascii="Calibri" w:hAnsi="Calibri"/>
          <w:szCs w:val="20"/>
        </w:rPr>
        <w:t>oppdragsgiver</w:t>
      </w:r>
      <w:r>
        <w:rPr>
          <w:szCs w:val="20"/>
        </w:rPr>
        <w:t xml:space="preserve"> si opp sikkerhetsavtalen uten at det settes en frist. </w:t>
      </w:r>
    </w:p>
    <w:p w14:paraId="7BD5907F" w14:textId="67C42FF9" w:rsidR="002062F1" w:rsidRDefault="002062F1" w:rsidP="00A47E58">
      <w:pPr>
        <w:pStyle w:val="Overskrift3"/>
        <w:numPr>
          <w:ilvl w:val="2"/>
          <w:numId w:val="5"/>
        </w:numPr>
        <w:spacing w:after="0" w:line="256" w:lineRule="auto"/>
        <w:ind w:left="851"/>
        <w:rPr>
          <w:szCs w:val="20"/>
        </w:rPr>
      </w:pPr>
      <w:bookmarkStart w:id="31" w:name="_Toc57316050"/>
      <w:r>
        <w:t>Ytterligere sikkerhetskrav</w:t>
      </w:r>
      <w:bookmarkEnd w:id="31"/>
    </w:p>
    <w:p w14:paraId="4B155D6F" w14:textId="77777777" w:rsidR="002062F1" w:rsidRDefault="002062F1" w:rsidP="002062F1">
      <w:pPr>
        <w:rPr>
          <w:szCs w:val="20"/>
        </w:rPr>
      </w:pPr>
      <w:r>
        <w:rPr>
          <w:szCs w:val="20"/>
        </w:rPr>
        <w:t xml:space="preserve">Det understrekes at ovennevnte krav ikke er uttømmende. I enkelte anskaffelser kan det, med bakgrunn i økt risiko knyttet til verdier, trusler eller sårbarheter bli stilt ytterligere krav til sikkerhet, jf. generelle krav til beskyttelse av skjermingsverdige verdier i virksomhetsikkerhetsforskriften kapittel 3. </w:t>
      </w:r>
    </w:p>
    <w:p w14:paraId="0DAE4A90" w14:textId="2AFC7B59" w:rsidR="002062F1" w:rsidRDefault="002062F1" w:rsidP="00A47E58">
      <w:pPr>
        <w:pStyle w:val="Overskrift3"/>
        <w:numPr>
          <w:ilvl w:val="2"/>
          <w:numId w:val="5"/>
        </w:numPr>
        <w:spacing w:after="0" w:line="256" w:lineRule="auto"/>
        <w:ind w:left="851"/>
        <w:rPr>
          <w:szCs w:val="20"/>
        </w:rPr>
      </w:pPr>
      <w:bookmarkStart w:id="32" w:name="_Toc57316051"/>
      <w:r>
        <w:t>Veiledere</w:t>
      </w:r>
      <w:bookmarkEnd w:id="32"/>
    </w:p>
    <w:p w14:paraId="726F249E" w14:textId="77777777" w:rsidR="002062F1" w:rsidRDefault="002062F1" w:rsidP="002062F1">
      <w:pPr>
        <w:spacing w:line="240" w:lineRule="auto"/>
        <w:rPr>
          <w:szCs w:val="20"/>
        </w:rPr>
      </w:pPr>
      <w:r>
        <w:rPr>
          <w:szCs w:val="20"/>
        </w:rPr>
        <w:t>For leverandører med sikkerhetsavtale på BEGRENSET nivå vil følgende NSM veiledninger, i tillegg til de som er nevnt ovenfor, være relevante å benytte i det forebyggende sikkerhetsarbeidet.</w:t>
      </w:r>
    </w:p>
    <w:p w14:paraId="2CDCA4FB" w14:textId="77777777" w:rsidR="002062F1" w:rsidRDefault="002062F1" w:rsidP="00A47E58">
      <w:pPr>
        <w:pStyle w:val="Listeavsnitt"/>
        <w:numPr>
          <w:ilvl w:val="0"/>
          <w:numId w:val="11"/>
        </w:numPr>
        <w:spacing w:line="256" w:lineRule="auto"/>
        <w:jc w:val="both"/>
        <w:rPr>
          <w:szCs w:val="20"/>
        </w:rPr>
      </w:pPr>
      <w:r>
        <w:rPr>
          <w:szCs w:val="20"/>
        </w:rPr>
        <w:t>Veiledning i sikkerhetsgraderte anskaffelser</w:t>
      </w:r>
    </w:p>
    <w:p w14:paraId="27B1F419" w14:textId="77777777" w:rsidR="002062F1" w:rsidRDefault="002062F1" w:rsidP="00A47E58">
      <w:pPr>
        <w:pStyle w:val="Listeavsnitt"/>
        <w:numPr>
          <w:ilvl w:val="0"/>
          <w:numId w:val="11"/>
        </w:numPr>
        <w:spacing w:line="256" w:lineRule="auto"/>
        <w:jc w:val="both"/>
        <w:rPr>
          <w:szCs w:val="20"/>
        </w:rPr>
      </w:pPr>
      <w:r>
        <w:rPr>
          <w:szCs w:val="20"/>
        </w:rPr>
        <w:t>Veileder i håndtering og beskyttelse av sikkerhetsgradert informasjon</w:t>
      </w:r>
    </w:p>
    <w:p w14:paraId="70EE1E6C" w14:textId="77777777" w:rsidR="002062F1" w:rsidRDefault="002062F1" w:rsidP="00A47E58">
      <w:pPr>
        <w:pStyle w:val="Listeavsnitt"/>
        <w:numPr>
          <w:ilvl w:val="0"/>
          <w:numId w:val="11"/>
        </w:numPr>
        <w:spacing w:line="256" w:lineRule="auto"/>
        <w:jc w:val="both"/>
        <w:rPr>
          <w:szCs w:val="20"/>
        </w:rPr>
      </w:pPr>
      <w:r>
        <w:rPr>
          <w:szCs w:val="20"/>
        </w:rPr>
        <w:t>Veiledning i sikkerhetsgodkjenning</w:t>
      </w:r>
    </w:p>
    <w:p w14:paraId="7A12100A" w14:textId="77777777" w:rsidR="002062F1" w:rsidRDefault="002062F1" w:rsidP="00A47E58">
      <w:pPr>
        <w:pStyle w:val="Listeavsnitt"/>
        <w:numPr>
          <w:ilvl w:val="0"/>
          <w:numId w:val="11"/>
        </w:numPr>
        <w:spacing w:line="256" w:lineRule="auto"/>
        <w:jc w:val="both"/>
        <w:rPr>
          <w:szCs w:val="20"/>
        </w:rPr>
      </w:pPr>
      <w:r>
        <w:rPr>
          <w:szCs w:val="20"/>
        </w:rPr>
        <w:t>Veileder i fysisk sikring</w:t>
      </w:r>
    </w:p>
    <w:p w14:paraId="21FE44BF" w14:textId="77777777" w:rsidR="002062F1" w:rsidRDefault="002062F1" w:rsidP="00A47E58">
      <w:pPr>
        <w:pStyle w:val="Listeavsnitt"/>
        <w:numPr>
          <w:ilvl w:val="0"/>
          <w:numId w:val="11"/>
        </w:numPr>
        <w:spacing w:line="256" w:lineRule="auto"/>
        <w:jc w:val="both"/>
        <w:rPr>
          <w:szCs w:val="20"/>
        </w:rPr>
      </w:pPr>
      <w:r>
        <w:rPr>
          <w:szCs w:val="20"/>
        </w:rPr>
        <w:t>Håndtering av uønskede hendelser</w:t>
      </w:r>
    </w:p>
    <w:p w14:paraId="32A029A1" w14:textId="77777777" w:rsidR="002062F1" w:rsidRDefault="002062F1" w:rsidP="00A47E58">
      <w:pPr>
        <w:pStyle w:val="Listeavsnitt"/>
        <w:numPr>
          <w:ilvl w:val="0"/>
          <w:numId w:val="11"/>
        </w:numPr>
        <w:spacing w:line="256" w:lineRule="auto"/>
        <w:jc w:val="both"/>
        <w:rPr>
          <w:szCs w:val="20"/>
        </w:rPr>
      </w:pPr>
      <w:r>
        <w:rPr>
          <w:szCs w:val="20"/>
        </w:rPr>
        <w:t>Veiledning til sikkerhetsloven kapittel 8 og bestemmelser om personellsikkerhet i forskriftene</w:t>
      </w:r>
    </w:p>
    <w:p w14:paraId="4569E1F3" w14:textId="77777777" w:rsidR="002062F1" w:rsidRDefault="002062F1" w:rsidP="002062F1">
      <w:pPr>
        <w:jc w:val="both"/>
        <w:rPr>
          <w:szCs w:val="20"/>
        </w:rPr>
      </w:pPr>
      <w:r>
        <w:rPr>
          <w:szCs w:val="20"/>
        </w:rPr>
        <w:lastRenderedPageBreak/>
        <w:t>Det anbefales at «Veileder i håndtering og beskyttelse av sikkerhetsgradert informasjon», «Veiledning i sikkerhetsgodkjenning» og «Veileder i fysisk sikring» ses i sammenheng.</w:t>
      </w:r>
    </w:p>
    <w:p w14:paraId="0A0E06AA" w14:textId="77777777" w:rsidR="002062F1" w:rsidRDefault="002062F1" w:rsidP="002062F1">
      <w:pPr>
        <w:rPr>
          <w:sz w:val="2"/>
          <w:szCs w:val="20"/>
        </w:rPr>
      </w:pPr>
    </w:p>
    <w:p w14:paraId="57226400" w14:textId="1AEA4BAB" w:rsidR="002062F1" w:rsidRDefault="002062F1" w:rsidP="00A47E58">
      <w:pPr>
        <w:pStyle w:val="Overskrift1"/>
        <w:numPr>
          <w:ilvl w:val="0"/>
          <w:numId w:val="5"/>
        </w:numPr>
        <w:spacing w:line="256" w:lineRule="auto"/>
        <w:rPr>
          <w:sz w:val="22"/>
          <w:szCs w:val="20"/>
        </w:rPr>
      </w:pPr>
      <w:bookmarkStart w:id="33" w:name="_Toc57316052"/>
      <w:r>
        <w:t>Sikkerhetsgraderte anskaffelser på KONFIDENSIELT nivå eller høyere</w:t>
      </w:r>
      <w:bookmarkEnd w:id="33"/>
    </w:p>
    <w:p w14:paraId="5D632F56" w14:textId="22B0BED0" w:rsidR="002062F1" w:rsidRDefault="002062F1" w:rsidP="00A47E58">
      <w:pPr>
        <w:pStyle w:val="Overskrift2"/>
        <w:numPr>
          <w:ilvl w:val="1"/>
          <w:numId w:val="5"/>
        </w:numPr>
        <w:spacing w:after="0" w:line="256" w:lineRule="auto"/>
      </w:pPr>
      <w:bookmarkStart w:id="34" w:name="_Toc57316053"/>
      <w:r>
        <w:t>Forsvarlig sikkerhetsnivå for informasjon som er gradert KONFIDENSIELT eller høyere</w:t>
      </w:r>
      <w:bookmarkEnd w:id="34"/>
    </w:p>
    <w:p w14:paraId="411BE031" w14:textId="77777777" w:rsidR="002062F1" w:rsidRDefault="002062F1" w:rsidP="002062F1">
      <w:pPr>
        <w:rPr>
          <w:szCs w:val="20"/>
        </w:rPr>
      </w:pPr>
      <w:r>
        <w:rPr>
          <w:szCs w:val="20"/>
        </w:rPr>
        <w:t xml:space="preserve">Virksomhetsikkerhetsforskriften kapittel 6 fastsetter krav til beskyttelse av informasjon gradert KONFIDENSIELT eller høyere. </w:t>
      </w:r>
    </w:p>
    <w:p w14:paraId="65748B7E" w14:textId="77777777" w:rsidR="002062F1" w:rsidRDefault="002062F1" w:rsidP="002062F1">
      <w:pPr>
        <w:spacing w:line="240" w:lineRule="auto"/>
        <w:rPr>
          <w:szCs w:val="20"/>
        </w:rPr>
      </w:pPr>
      <w:r>
        <w:rPr>
          <w:szCs w:val="20"/>
        </w:rPr>
        <w:t>Kravene for håndtering og beskyttelse av informasjon gradert KONFIDENSIELT eller høyere kommer i tillegg til kravene som gjelder for håndtering og beskyttelse av ugradert skjermingsverdig informasjon og informasjon gradert BEGRENSET.</w:t>
      </w:r>
    </w:p>
    <w:p w14:paraId="43185CDB" w14:textId="12B89032" w:rsidR="002062F1" w:rsidRDefault="00A47E58" w:rsidP="00A47E58">
      <w:pPr>
        <w:pStyle w:val="Overskrift3"/>
        <w:numPr>
          <w:ilvl w:val="2"/>
          <w:numId w:val="5"/>
        </w:numPr>
        <w:spacing w:after="0" w:line="256" w:lineRule="auto"/>
        <w:ind w:left="851"/>
        <w:rPr>
          <w:szCs w:val="20"/>
        </w:rPr>
      </w:pPr>
      <w:r>
        <w:t xml:space="preserve"> </w:t>
      </w:r>
      <w:bookmarkStart w:id="35" w:name="_Toc57316054"/>
      <w:r w:rsidR="002062F1">
        <w:t>Soneinndeling for informasjon gradert KONFIDENSIELT eller høyere</w:t>
      </w:r>
      <w:bookmarkEnd w:id="35"/>
    </w:p>
    <w:p w14:paraId="18AF0F9C" w14:textId="77777777" w:rsidR="002062F1" w:rsidRDefault="002062F1" w:rsidP="002062F1">
      <w:pPr>
        <w:rPr>
          <w:szCs w:val="20"/>
        </w:rPr>
      </w:pPr>
      <w:r>
        <w:rPr>
          <w:szCs w:val="20"/>
        </w:rPr>
        <w:t xml:space="preserve">For å beskytte sikkerhetsgraderte informasjon og informasjonssystem gradert KONFIDENSIELT eller høyere, skal det etableres en kontrollert og beskyttet sone. </w:t>
      </w:r>
    </w:p>
    <w:p w14:paraId="0EF6832E" w14:textId="77777777" w:rsidR="002062F1" w:rsidRDefault="002062F1" w:rsidP="002062F1">
      <w:pPr>
        <w:rPr>
          <w:szCs w:val="20"/>
        </w:rPr>
      </w:pPr>
      <w:r>
        <w:rPr>
          <w:szCs w:val="20"/>
        </w:rPr>
        <w:t xml:space="preserve">En kontrollert sone skal være et tydelig avgrenset område der leverandøren skal kunne ha kontroll med personer, kjøretøy og annen aktivitet. Ved særlig høy risiko skal adgang og ferdsel kontrolleres med en fysisk avgrensning. </w:t>
      </w:r>
    </w:p>
    <w:p w14:paraId="22133555" w14:textId="77777777" w:rsidR="002062F1" w:rsidRDefault="002062F1" w:rsidP="002062F1">
      <w:pPr>
        <w:rPr>
          <w:szCs w:val="20"/>
        </w:rPr>
      </w:pPr>
      <w:r>
        <w:rPr>
          <w:szCs w:val="20"/>
        </w:rPr>
        <w:t xml:space="preserve">En beskyttet sone skal ha en fysisk avgrensning der sikkerhetstruende virksomhet skal kunne oppdages. I en beskyttet sone skal dokumenter og lagringsmedier med informasjon som er gradert KONFIDENSIELT eller høyere lagres i oppbevaringsenhet godkjent av NSM. </w:t>
      </w:r>
    </w:p>
    <w:p w14:paraId="55F1CB81" w14:textId="77777777" w:rsidR="002062F1" w:rsidRDefault="002062F1" w:rsidP="002062F1">
      <w:pPr>
        <w:rPr>
          <w:szCs w:val="20"/>
        </w:rPr>
      </w:pPr>
      <w:r>
        <w:rPr>
          <w:szCs w:val="20"/>
        </w:rPr>
        <w:t xml:space="preserve">Dersom leverandøren skal ha et område med direkte tilgang til informasjon gradert KONFIDENSIELT eller høyere, skal det etableres en sperret sone rundt området. </w:t>
      </w:r>
    </w:p>
    <w:p w14:paraId="3818F499" w14:textId="77777777" w:rsidR="002062F1" w:rsidRDefault="002062F1" w:rsidP="002062F1">
      <w:pPr>
        <w:rPr>
          <w:szCs w:val="20"/>
        </w:rPr>
      </w:pPr>
      <w:r>
        <w:rPr>
          <w:szCs w:val="20"/>
        </w:rPr>
        <w:t>Dokumenter og lagringsmedier med informasjon som er gradert KONFIDENSIELT, skal bare oppbevares og behandles i en beskyttet sone eller sperret sone. Typiske sperrede soner vil være arkiver og dokumenthvelv, operasjonsrom, kommunikasjons- og serverrom eller lokaler der det lages sikkerhetsgraderte produkter. Dette er altså spesialrom hvor sikkerhetsgradert informasjon er åpent eller lett tilgjengelig for den som har adgang.</w:t>
      </w:r>
    </w:p>
    <w:p w14:paraId="306C582A" w14:textId="77777777" w:rsidR="002062F1" w:rsidRDefault="002062F1" w:rsidP="002062F1">
      <w:pPr>
        <w:spacing w:line="240" w:lineRule="auto"/>
        <w:rPr>
          <w:szCs w:val="20"/>
        </w:rPr>
      </w:pPr>
      <w:r>
        <w:rPr>
          <w:szCs w:val="20"/>
        </w:rPr>
        <w:t xml:space="preserve">Personer som skal gis permanent adgang til en beskyttet eller sperret sone, skal være sikkerhetsklarert og autorisert. Det skal være kontroll med adgangen. </w:t>
      </w:r>
    </w:p>
    <w:p w14:paraId="477F2125" w14:textId="77777777" w:rsidR="002062F1" w:rsidRDefault="002062F1" w:rsidP="00A47E58">
      <w:pPr>
        <w:pStyle w:val="Overskrift4"/>
        <w:keepNext w:val="0"/>
        <w:keepLines w:val="0"/>
        <w:numPr>
          <w:ilvl w:val="3"/>
          <w:numId w:val="5"/>
        </w:numPr>
        <w:spacing w:before="0" w:line="256" w:lineRule="auto"/>
        <w:ind w:left="993"/>
        <w:contextualSpacing/>
        <w:rPr>
          <w:rFonts w:eastAsiaTheme="minorHAnsi"/>
          <w:szCs w:val="20"/>
        </w:rPr>
      </w:pPr>
      <w:r>
        <w:rPr>
          <w:rFonts w:eastAsiaTheme="minorHAnsi"/>
        </w:rPr>
        <w:t xml:space="preserve">Balansert sikring </w:t>
      </w:r>
    </w:p>
    <w:p w14:paraId="732752C4" w14:textId="77777777" w:rsidR="002062F1" w:rsidRDefault="002062F1" w:rsidP="002062F1">
      <w:pPr>
        <w:rPr>
          <w:szCs w:val="20"/>
        </w:rPr>
      </w:pPr>
      <w:r>
        <w:rPr>
          <w:szCs w:val="20"/>
        </w:rPr>
        <w:t>Verken virksomhetsikkerhetsforskriften eller NSMs veiledninger gir konkrete føringer om hvilke sikkerhetstiltak som til enhver tid er tilstrekkelig for å oppnå et forsvarlig sikkerhetsnivå. Dette må fremkomme i en risikovurdering som gjennomføres av den enkelte virksomhet.</w:t>
      </w:r>
    </w:p>
    <w:p w14:paraId="469F3099" w14:textId="77777777" w:rsidR="002062F1" w:rsidRDefault="002062F1" w:rsidP="002062F1">
      <w:pPr>
        <w:rPr>
          <w:szCs w:val="20"/>
        </w:rPr>
      </w:pPr>
      <w:r>
        <w:rPr>
          <w:szCs w:val="20"/>
        </w:rPr>
        <w:t xml:space="preserve">For å redusere risiko for innbrudd kan kravet om forsvarlig sikkerhetsnivå langt på vei oppnås gjennom balansert sikring. Med balansert sikring menes at det er balanse mellom fysiske sikkerhetstiltak, deteksjonstiltak, og reaksjonstid. Balansert sikring oppnås når tiden det tar å bryte seg gjennom de ulike fysiske barrierene er lengre enn summen av tiden det tar å detektere og varsle innbruddet, og den tiden det tar før reaksjonsstyrken (vekter, politi etc.) kan være på lokasjonen. </w:t>
      </w:r>
    </w:p>
    <w:p w14:paraId="6418401C" w14:textId="77777777" w:rsidR="002062F1" w:rsidRDefault="002062F1" w:rsidP="002062F1">
      <w:pPr>
        <w:rPr>
          <w:szCs w:val="20"/>
        </w:rPr>
      </w:pPr>
      <w:r>
        <w:rPr>
          <w:szCs w:val="20"/>
        </w:rPr>
        <w:t>Dersom balansert sikring ikke kan oppnås skal oppdragsgiver ta stilling til om det er nødvendig å forsterke de eksisterende fysiske sikringstiltakene (grunnsikringstiltak) eller etablere ytterligere tiltak (påbyggingstiltak) for å redusere restrisiko til et akseptabelt nivå.</w:t>
      </w:r>
    </w:p>
    <w:p w14:paraId="11606CE8" w14:textId="601404F1" w:rsidR="002062F1" w:rsidRDefault="002062F1" w:rsidP="00A47E58">
      <w:pPr>
        <w:pStyle w:val="Overskrift3"/>
        <w:numPr>
          <w:ilvl w:val="2"/>
          <w:numId w:val="5"/>
        </w:numPr>
        <w:spacing w:after="0" w:line="256" w:lineRule="auto"/>
        <w:ind w:left="851"/>
        <w:rPr>
          <w:szCs w:val="20"/>
        </w:rPr>
      </w:pPr>
      <w:bookmarkStart w:id="36" w:name="_Toc57316055"/>
      <w:r>
        <w:t>Leverandørklarering</w:t>
      </w:r>
      <w:bookmarkEnd w:id="36"/>
    </w:p>
    <w:p w14:paraId="3B3EC7FD" w14:textId="77777777" w:rsidR="002062F1" w:rsidRDefault="002062F1" w:rsidP="002062F1">
      <w:pPr>
        <w:rPr>
          <w:szCs w:val="20"/>
        </w:rPr>
      </w:pPr>
      <w:r>
        <w:rPr>
          <w:szCs w:val="20"/>
        </w:rPr>
        <w:t>Leverandør som skal oppbevare, behandle eller tilvirke informasjon gradert KONFIDENSIELT eller høyere i egne lokaler, skal ha leverandørklarering før sikkerhetsavtale kan inngås med oppdragsgiver. Leverandørklareringen gis av NSM.</w:t>
      </w:r>
    </w:p>
    <w:p w14:paraId="728B083A" w14:textId="77777777" w:rsidR="002062F1" w:rsidRDefault="002062F1" w:rsidP="002062F1">
      <w:pPr>
        <w:rPr>
          <w:szCs w:val="20"/>
        </w:rPr>
      </w:pPr>
      <w:r>
        <w:rPr>
          <w:szCs w:val="20"/>
        </w:rPr>
        <w:t xml:space="preserve">Før leverandørklarering kan gis skal NSM kontrollere at leverandøren oppfyller kravene i sikkerhetsloven, virksomhetsikkerhetsforskriften og klareringsforskriften. </w:t>
      </w:r>
    </w:p>
    <w:p w14:paraId="5AC798AC" w14:textId="5E0A3D1C" w:rsidR="002062F1" w:rsidRDefault="002062F1" w:rsidP="00A47E58">
      <w:pPr>
        <w:pStyle w:val="Overskrift3"/>
        <w:numPr>
          <w:ilvl w:val="2"/>
          <w:numId w:val="5"/>
        </w:numPr>
        <w:spacing w:after="0" w:line="256" w:lineRule="auto"/>
        <w:ind w:left="851"/>
        <w:rPr>
          <w:szCs w:val="20"/>
        </w:rPr>
      </w:pPr>
      <w:bookmarkStart w:id="37" w:name="_Toc57316056"/>
      <w:r>
        <w:lastRenderedPageBreak/>
        <w:t>Sikkerhetsklarering og autorisasjon av leverandørpersonell</w:t>
      </w:r>
      <w:bookmarkEnd w:id="37"/>
    </w:p>
    <w:p w14:paraId="3638E536" w14:textId="77777777" w:rsidR="002062F1" w:rsidRDefault="002062F1" w:rsidP="002062F1">
      <w:pPr>
        <w:rPr>
          <w:szCs w:val="20"/>
        </w:rPr>
      </w:pPr>
      <w:r>
        <w:rPr>
          <w:szCs w:val="20"/>
        </w:rPr>
        <w:t xml:space="preserve">Før leverandørklarering kan gis skal leverandørens leder og styremedlemmer sikkerhetsklareres for det samme nivå som det er anmodet om leverandørklarering for. En leverandørklarering kan likevel gis dersom det styremedlem eller leverandørens leder som ikke kan sikkerhetsklareres, gir avkall på retten til innsyn i den sikkerhetsgraderte informasjonen eller tilgangen til objekter eller infrastruktur som gjør det nødvendig med leverandørklarering. </w:t>
      </w:r>
    </w:p>
    <w:p w14:paraId="3FBE2395" w14:textId="77777777" w:rsidR="002062F1" w:rsidRDefault="002062F1" w:rsidP="002062F1">
      <w:pPr>
        <w:rPr>
          <w:szCs w:val="20"/>
        </w:rPr>
      </w:pPr>
      <w:r>
        <w:rPr>
          <w:szCs w:val="20"/>
        </w:rPr>
        <w:t>Leverandøren må påregne minimum tre måneders saksbehandlingstid for sikkerhetsklarering av personell som kun er norske statsborgere. Tre måneders fristen regnes fra korrekt utfylt personopplysningsblankett (POB) er mottatt av klareringsmyndigheten.</w:t>
      </w:r>
    </w:p>
    <w:p w14:paraId="7C67D23C" w14:textId="77777777" w:rsidR="002062F1" w:rsidRDefault="002062F1" w:rsidP="002062F1">
      <w:pPr>
        <w:rPr>
          <w:szCs w:val="20"/>
        </w:rPr>
      </w:pPr>
      <w:r>
        <w:rPr>
          <w:szCs w:val="20"/>
        </w:rPr>
        <w:t xml:space="preserve">En person som har utenlandsk statsborgerskap, kan etter en konkret helhetsvurdering få sikkerhetsklarering, dersom det ikke er rimelig grunn til å tvile på at personen er sikkerhetsmessig skikket. I tillegg til forholdene i § 8-4 skal det i vurderingen legges vekt på hjemlandets sikkerhetsmessige betydning, personens tilknytning til hjemlandet og tilknytningen til Norge. Utfallet av slike søknader er usikkert, og i alle tilfeller må det påregnes vesentlig lengre saksbehandlingstid enn for norske statsborgere. </w:t>
      </w:r>
    </w:p>
    <w:p w14:paraId="35F93019" w14:textId="77777777" w:rsidR="002062F1" w:rsidRDefault="002062F1" w:rsidP="002062F1">
      <w:pPr>
        <w:rPr>
          <w:szCs w:val="20"/>
        </w:rPr>
      </w:pPr>
      <w:r>
        <w:rPr>
          <w:szCs w:val="20"/>
        </w:rPr>
        <w:t xml:space="preserve">Leverandørens leder skal autoriseres av oppdragsgiver før sikkerhetsgradert informasjon utleveres. </w:t>
      </w:r>
    </w:p>
    <w:p w14:paraId="33B702EE" w14:textId="77777777" w:rsidR="002062F1" w:rsidRDefault="002062F1" w:rsidP="002062F1">
      <w:pPr>
        <w:rPr>
          <w:szCs w:val="20"/>
        </w:rPr>
      </w:pPr>
      <w:r>
        <w:rPr>
          <w:szCs w:val="20"/>
        </w:rPr>
        <w:t>Leverandørens leder skal sørge for at eget personell som har tjenstlig behov for tilgang til sikkerhetsgradert informasjon som leverandøren er i besittelse av, blir autorisert. Ved behov for tilgang til informasjon gradert KONFIDENSIELT eller høyere, må det kontrolleres at vedkommende har gyldig sikkerhetsklarering for den aktuelle sikkerhetsgraden.</w:t>
      </w:r>
    </w:p>
    <w:p w14:paraId="0EF821C1" w14:textId="77777777" w:rsidR="002062F1" w:rsidRDefault="002062F1" w:rsidP="002062F1">
      <w:pPr>
        <w:rPr>
          <w:szCs w:val="20"/>
        </w:rPr>
      </w:pPr>
      <w:r>
        <w:rPr>
          <w:szCs w:val="20"/>
        </w:rPr>
        <w:t xml:space="preserve">Det gjøres oppmerksom på at det er leverandørens risiko at autorisasjon eller sikkerhetsklarering ikke oppnås. Han har også risikoen for at autorisasjon eller sikkerhetsklarering tar lengre tid enn 3 måneder, med mindre forsinkelsen skyldes forhold oppdragsgiver eller norske sikkerhetsmyndigheter svarer for. </w:t>
      </w:r>
    </w:p>
    <w:p w14:paraId="6033B2EA" w14:textId="70A8AF6C" w:rsidR="002062F1" w:rsidRDefault="002062F1" w:rsidP="00A47E58">
      <w:pPr>
        <w:pStyle w:val="Overskrift2"/>
        <w:numPr>
          <w:ilvl w:val="1"/>
          <w:numId w:val="5"/>
        </w:numPr>
        <w:spacing w:after="0" w:line="256" w:lineRule="auto"/>
        <w:rPr>
          <w:szCs w:val="20"/>
        </w:rPr>
      </w:pPr>
      <w:bookmarkStart w:id="38" w:name="_Toc57316057"/>
      <w:r>
        <w:t>Inngåelse av sikkerhetsavtale på KONFIDENSIELT nivå eller høyere</w:t>
      </w:r>
      <w:bookmarkEnd w:id="38"/>
    </w:p>
    <w:p w14:paraId="3A63B7FD" w14:textId="77777777" w:rsidR="002062F1" w:rsidRDefault="002062F1" w:rsidP="002062F1">
      <w:pPr>
        <w:rPr>
          <w:szCs w:val="20"/>
        </w:rPr>
      </w:pPr>
      <w:r>
        <w:rPr>
          <w:szCs w:val="20"/>
        </w:rPr>
        <w:t>Ved inngåelse av sikkerhetsavtale på KONFIDENSIELT nivå eller høyere forplikter leverandøren seg til å oppfylle de krav som gjelder for sikkerhetsavtaler på BEGRENSET nivå.</w:t>
      </w:r>
    </w:p>
    <w:p w14:paraId="1E963DDA" w14:textId="182B8DF7" w:rsidR="002062F1" w:rsidRDefault="00A47E58" w:rsidP="00A47E58">
      <w:pPr>
        <w:pStyle w:val="Overskrift3"/>
        <w:numPr>
          <w:ilvl w:val="2"/>
          <w:numId w:val="5"/>
        </w:numPr>
        <w:spacing w:after="0" w:line="256" w:lineRule="auto"/>
        <w:ind w:left="851"/>
        <w:rPr>
          <w:szCs w:val="20"/>
        </w:rPr>
      </w:pPr>
      <w:r>
        <w:t xml:space="preserve"> </w:t>
      </w:r>
      <w:bookmarkStart w:id="39" w:name="_Toc57316058"/>
      <w:r w:rsidR="002062F1">
        <w:t>Godkjenning av informasjonssystem</w:t>
      </w:r>
      <w:bookmarkEnd w:id="39"/>
    </w:p>
    <w:p w14:paraId="04CF9EFA" w14:textId="77777777" w:rsidR="002062F1" w:rsidRDefault="002062F1" w:rsidP="002062F1">
      <w:pPr>
        <w:rPr>
          <w:szCs w:val="20"/>
        </w:rPr>
      </w:pPr>
      <w:r>
        <w:rPr>
          <w:szCs w:val="20"/>
        </w:rPr>
        <w:t>Informasjonssystem som skal behandle sikkerhetsgradert informasjon på KONFIDENSIELT nivå skal godkjennes av oppdragsgiver før de tas i bruk. NSM godkjenner informasjonssystem med høyere graderingsnivå.</w:t>
      </w:r>
    </w:p>
    <w:p w14:paraId="2C129AF0" w14:textId="39F85162" w:rsidR="002062F1" w:rsidRDefault="002062F1" w:rsidP="00A47E58">
      <w:pPr>
        <w:pStyle w:val="Overskrift3"/>
        <w:numPr>
          <w:ilvl w:val="2"/>
          <w:numId w:val="5"/>
        </w:numPr>
        <w:spacing w:after="0" w:line="256" w:lineRule="auto"/>
        <w:ind w:left="851"/>
        <w:rPr>
          <w:szCs w:val="20"/>
        </w:rPr>
      </w:pPr>
      <w:r>
        <w:t xml:space="preserve"> </w:t>
      </w:r>
      <w:bookmarkStart w:id="40" w:name="_Toc57316059"/>
      <w:r>
        <w:t>Brudd på sikkerhetskrav</w:t>
      </w:r>
      <w:bookmarkEnd w:id="40"/>
    </w:p>
    <w:p w14:paraId="60CEB2EA" w14:textId="77777777" w:rsidR="002062F1" w:rsidRDefault="002062F1" w:rsidP="002062F1">
      <w:pPr>
        <w:rPr>
          <w:szCs w:val="20"/>
        </w:rPr>
      </w:pPr>
      <w:r>
        <w:rPr>
          <w:szCs w:val="20"/>
        </w:rPr>
        <w:t>Dersom leverandøren ikke retter brudd på kravene fastsatt i eller med hjemmel i sikkerhetsloven innen en fastsatt frist, kan leverandørklarering kalles tilbake av NSM. Er et brudd vesentlig, kan NSM tilbakekalle leverandørklareringen uten at det settes en frist. Dersom leverandørklareringen kalles tilbake, vil sikkerhetsavtalen sies opp.</w:t>
      </w:r>
    </w:p>
    <w:p w14:paraId="74B2B104" w14:textId="46057B19" w:rsidR="002062F1" w:rsidRDefault="002062F1" w:rsidP="00A47E58">
      <w:pPr>
        <w:pStyle w:val="Overskrift3"/>
        <w:numPr>
          <w:ilvl w:val="2"/>
          <w:numId w:val="5"/>
        </w:numPr>
        <w:spacing w:after="0" w:line="256" w:lineRule="auto"/>
        <w:ind w:left="851"/>
        <w:rPr>
          <w:szCs w:val="20"/>
        </w:rPr>
      </w:pPr>
      <w:r>
        <w:t xml:space="preserve"> </w:t>
      </w:r>
      <w:bookmarkStart w:id="41" w:name="_Toc57316060"/>
      <w:r>
        <w:t>Ytterligere krav</w:t>
      </w:r>
      <w:bookmarkEnd w:id="41"/>
      <w:r>
        <w:t xml:space="preserve"> </w:t>
      </w:r>
    </w:p>
    <w:p w14:paraId="063DE9E2" w14:textId="77777777" w:rsidR="002062F1" w:rsidRDefault="002062F1" w:rsidP="002062F1">
      <w:pPr>
        <w:rPr>
          <w:szCs w:val="20"/>
        </w:rPr>
      </w:pPr>
      <w:r>
        <w:rPr>
          <w:szCs w:val="20"/>
        </w:rPr>
        <w:t xml:space="preserve">Det understrekes at ovennevnte krav ikke er uttømmende. I enkelte anskaffelser kan det, med bakgrunn i økt risiko knyttet til verdier, trusler eller sårbarheter bli stilt ytterligere krav til sikkerhet, jf. generelle krav til beskyttelse av skjermingsverdige verdier i virksomhetsikkerhetsforskriften kapittel 3. </w:t>
      </w:r>
    </w:p>
    <w:p w14:paraId="1042274C" w14:textId="07C31A05" w:rsidR="002062F1" w:rsidRDefault="002062F1" w:rsidP="00A47E58">
      <w:pPr>
        <w:pStyle w:val="Overskrift3"/>
        <w:numPr>
          <w:ilvl w:val="2"/>
          <w:numId w:val="5"/>
        </w:numPr>
        <w:spacing w:after="0" w:line="256" w:lineRule="auto"/>
        <w:ind w:left="851"/>
        <w:rPr>
          <w:szCs w:val="20"/>
        </w:rPr>
      </w:pPr>
      <w:r>
        <w:t xml:space="preserve"> </w:t>
      </w:r>
      <w:bookmarkStart w:id="42" w:name="_Toc57316061"/>
      <w:r>
        <w:t>Veiledere</w:t>
      </w:r>
      <w:bookmarkEnd w:id="42"/>
    </w:p>
    <w:p w14:paraId="57850D13" w14:textId="60947CC9" w:rsidR="00B56339" w:rsidRPr="00A47E58" w:rsidRDefault="002062F1" w:rsidP="00A47E58">
      <w:pPr>
        <w:rPr>
          <w:szCs w:val="20"/>
        </w:rPr>
      </w:pPr>
      <w:r>
        <w:rPr>
          <w:szCs w:val="20"/>
        </w:rPr>
        <w:t>For leverandører med sikkerhetsavtale på KONFIDENSIELT nivå vil samtlige veiledninger som er nevnt ovenfor være relevante å benytte i det forebyggende sikkerhetsarbeidet.</w:t>
      </w:r>
    </w:p>
    <w:sectPr w:rsidR="00B56339" w:rsidRPr="00A47E58" w:rsidSect="0053585A">
      <w:headerReference w:type="default" r:id="rId9"/>
      <w:footerReference w:type="default" r:id="rId10"/>
      <w:headerReference w:type="first" r:id="rId11"/>
      <w:footerReference w:type="first" r:id="rId12"/>
      <w:pgSz w:w="11906" w:h="16838"/>
      <w:pgMar w:top="1560"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77F5" w14:textId="77777777" w:rsidR="002062F1" w:rsidRDefault="002062F1" w:rsidP="008420C4">
      <w:pPr>
        <w:spacing w:after="0" w:line="240" w:lineRule="auto"/>
      </w:pPr>
      <w:r>
        <w:separator/>
      </w:r>
    </w:p>
  </w:endnote>
  <w:endnote w:type="continuationSeparator" w:id="0">
    <w:p w14:paraId="2396199E" w14:textId="77777777" w:rsidR="002062F1" w:rsidRDefault="002062F1" w:rsidP="008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D75B" w14:textId="77777777" w:rsidR="002062F1" w:rsidRPr="00A57182" w:rsidRDefault="002062F1" w:rsidP="00A57182">
    <w:pPr>
      <w:pStyle w:val="Bunntekst"/>
      <w:pBdr>
        <w:top w:val="single" w:sz="4" w:space="1" w:color="auto"/>
      </w:pBdr>
      <w:rPr>
        <w:rFonts w:ascii="Calibri" w:hAnsi="Calibri" w:cs="Calibri"/>
        <w:color w:val="595959"/>
        <w:sz w:val="4"/>
      </w:rPr>
    </w:pPr>
  </w:p>
  <w:p w14:paraId="2A1A81A5" w14:textId="03DDC7FD" w:rsidR="002062F1" w:rsidRDefault="002062F1" w:rsidP="00A57182">
    <w:pPr>
      <w:pStyle w:val="Bunntekst"/>
      <w:pBdr>
        <w:top w:val="single" w:sz="4" w:space="1" w:color="auto"/>
      </w:pBdr>
    </w:pPr>
    <w:r>
      <w:rPr>
        <w:rFonts w:ascii="Calibri" w:hAnsi="Calibri" w:cs="Calibri"/>
        <w:color w:val="595959"/>
        <w:sz w:val="16"/>
      </w:rPr>
      <w:t>Versjonsdato</w:t>
    </w:r>
    <w:r w:rsidRPr="003B324E">
      <w:rPr>
        <w:rFonts w:ascii="Calibri" w:hAnsi="Calibri" w:cs="Calibri"/>
        <w:color w:val="595959"/>
        <w:sz w:val="16"/>
      </w:rPr>
      <w:t xml:space="preserve"> </w:t>
    </w:r>
    <w:r w:rsidR="00836C22">
      <w:rPr>
        <w:rFonts w:ascii="Calibri" w:hAnsi="Calibri" w:cs="Calibri"/>
        <w:color w:val="595959"/>
        <w:sz w:val="16"/>
      </w:rPr>
      <w:t>05.02</w:t>
    </w:r>
    <w:r w:rsidRPr="003B324E">
      <w:rPr>
        <w:rFonts w:ascii="Calibri" w:hAnsi="Calibri" w:cs="Calibri"/>
        <w:color w:val="595959"/>
        <w:sz w:val="16"/>
      </w:rPr>
      <w:t>.20</w:t>
    </w:r>
    <w:r>
      <w:rPr>
        <w:rFonts w:ascii="Calibri" w:hAnsi="Calibri" w:cs="Calibri"/>
        <w:color w:val="595959"/>
        <w:sz w:val="16"/>
      </w:rPr>
      <w:t>2</w:t>
    </w:r>
    <w:r w:rsidR="00836C22">
      <w:rPr>
        <w:rFonts w:ascii="Calibri" w:hAnsi="Calibri" w:cs="Calibri"/>
        <w:color w:val="595959"/>
        <w:sz w:val="16"/>
      </w:rPr>
      <w:t>1</w:t>
    </w:r>
    <w:r>
      <w:ptab w:relativeTo="margin" w:alignment="center" w:leader="none"/>
    </w:r>
    <w:r>
      <w:ptab w:relativeTo="margin" w:alignment="right" w:leader="none"/>
    </w:r>
    <w:sdt>
      <w:sdtPr>
        <w:rPr>
          <w:color w:val="808080" w:themeColor="background1" w:themeShade="80"/>
          <w:sz w:val="13"/>
          <w:szCs w:val="13"/>
        </w:rPr>
        <w:id w:val="686716313"/>
        <w:docPartObj>
          <w:docPartGallery w:val="Page Numbers (Top of Page)"/>
          <w:docPartUnique/>
        </w:docPartObj>
      </w:sdtPr>
      <w:sdtEndPr/>
      <w:sdtContent>
        <w:r w:rsidRPr="00550940">
          <w:rPr>
            <w:color w:val="808080" w:themeColor="background1" w:themeShade="80"/>
            <w:sz w:val="13"/>
            <w:szCs w:val="13"/>
          </w:rPr>
          <w:t xml:space="preserve">Side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PAGE</w:instrText>
        </w:r>
        <w:r w:rsidRPr="00550940">
          <w:rPr>
            <w:b/>
            <w:bCs/>
            <w:color w:val="808080" w:themeColor="background1" w:themeShade="80"/>
            <w:sz w:val="13"/>
            <w:szCs w:val="13"/>
          </w:rPr>
          <w:fldChar w:fldCharType="separate"/>
        </w:r>
        <w:r w:rsidR="005C25E6">
          <w:rPr>
            <w:b/>
            <w:bCs/>
            <w:noProof/>
            <w:color w:val="808080" w:themeColor="background1" w:themeShade="80"/>
            <w:sz w:val="13"/>
            <w:szCs w:val="13"/>
          </w:rPr>
          <w:t>2</w:t>
        </w:r>
        <w:r w:rsidRPr="00550940">
          <w:rPr>
            <w:b/>
            <w:bCs/>
            <w:color w:val="808080" w:themeColor="background1" w:themeShade="80"/>
            <w:sz w:val="13"/>
            <w:szCs w:val="13"/>
          </w:rPr>
          <w:fldChar w:fldCharType="end"/>
        </w:r>
        <w:r w:rsidRPr="00550940">
          <w:rPr>
            <w:color w:val="808080" w:themeColor="background1" w:themeShade="80"/>
            <w:sz w:val="13"/>
            <w:szCs w:val="13"/>
          </w:rPr>
          <w:t xml:space="preserve"> av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NUMPAGES</w:instrText>
        </w:r>
        <w:r w:rsidRPr="00550940">
          <w:rPr>
            <w:b/>
            <w:bCs/>
            <w:color w:val="808080" w:themeColor="background1" w:themeShade="80"/>
            <w:sz w:val="13"/>
            <w:szCs w:val="13"/>
          </w:rPr>
          <w:fldChar w:fldCharType="separate"/>
        </w:r>
        <w:r w:rsidR="005C25E6">
          <w:rPr>
            <w:b/>
            <w:bCs/>
            <w:noProof/>
            <w:color w:val="808080" w:themeColor="background1" w:themeShade="80"/>
            <w:sz w:val="13"/>
            <w:szCs w:val="13"/>
          </w:rPr>
          <w:t>9</w:t>
        </w:r>
        <w:r w:rsidRPr="00550940">
          <w:rPr>
            <w:b/>
            <w:bCs/>
            <w:color w:val="808080" w:themeColor="background1" w:themeShade="80"/>
            <w:sz w:val="13"/>
            <w:szCs w:val="13"/>
          </w:rPr>
          <w:fldChar w:fldCharType="end"/>
        </w:r>
      </w:sdtContent>
    </w:sdt>
    <w:r>
      <w:rPr>
        <w:color w:val="808080" w:themeColor="background1" w:themeShade="80"/>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93259"/>
      <w:docPartObj>
        <w:docPartGallery w:val="Page Numbers (Bottom of Page)"/>
        <w:docPartUnique/>
      </w:docPartObj>
    </w:sdtPr>
    <w:sdtEndPr>
      <w:rPr>
        <w:color w:val="808080" w:themeColor="background1" w:themeShade="80"/>
        <w:sz w:val="13"/>
        <w:szCs w:val="13"/>
      </w:rPr>
    </w:sdtEndPr>
    <w:sdtContent>
      <w:sdt>
        <w:sdtPr>
          <w:rPr>
            <w:color w:val="808080" w:themeColor="background1" w:themeShade="80"/>
            <w:sz w:val="13"/>
            <w:szCs w:val="13"/>
          </w:rPr>
          <w:id w:val="-904372417"/>
          <w:docPartObj>
            <w:docPartGallery w:val="Page Numbers (Top of Page)"/>
            <w:docPartUnique/>
          </w:docPartObj>
        </w:sdtPr>
        <w:sdtEndPr/>
        <w:sdtContent>
          <w:p w14:paraId="0418D39E" w14:textId="77777777" w:rsidR="002062F1" w:rsidRPr="00550940" w:rsidRDefault="002062F1" w:rsidP="005D3852">
            <w:pPr>
              <w:pStyle w:val="Bunntekst"/>
              <w:pBdr>
                <w:top w:val="single" w:sz="4" w:space="8" w:color="auto"/>
              </w:pBdr>
              <w:rPr>
                <w:color w:val="808080" w:themeColor="background1" w:themeShade="80"/>
                <w:sz w:val="13"/>
                <w:szCs w:val="13"/>
              </w:rPr>
            </w:pPr>
          </w:p>
          <w:p w14:paraId="0ACA6FA7" w14:textId="24E7213E" w:rsidR="002062F1" w:rsidRPr="00550940" w:rsidRDefault="002062F1" w:rsidP="005D3852">
            <w:pPr>
              <w:pStyle w:val="Bunntekst"/>
              <w:pBdr>
                <w:top w:val="single" w:sz="4" w:space="8" w:color="auto"/>
              </w:pBdr>
              <w:jc w:val="right"/>
              <w:rPr>
                <w:color w:val="808080" w:themeColor="background1" w:themeShade="80"/>
                <w:sz w:val="13"/>
                <w:szCs w:val="13"/>
              </w:rPr>
            </w:pPr>
            <w:r w:rsidRPr="00550940">
              <w:rPr>
                <w:color w:val="808080" w:themeColor="background1" w:themeShade="80"/>
                <w:sz w:val="13"/>
                <w:szCs w:val="13"/>
              </w:rPr>
              <w:t xml:space="preserve">Side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PAGE</w:instrText>
            </w:r>
            <w:r w:rsidRPr="00550940">
              <w:rPr>
                <w:b/>
                <w:bCs/>
                <w:color w:val="808080" w:themeColor="background1" w:themeShade="80"/>
                <w:sz w:val="13"/>
                <w:szCs w:val="13"/>
              </w:rPr>
              <w:fldChar w:fldCharType="separate"/>
            </w:r>
            <w:r w:rsidR="005C25E6">
              <w:rPr>
                <w:b/>
                <w:bCs/>
                <w:noProof/>
                <w:color w:val="808080" w:themeColor="background1" w:themeShade="80"/>
                <w:sz w:val="13"/>
                <w:szCs w:val="13"/>
              </w:rPr>
              <w:t>1</w:t>
            </w:r>
            <w:r w:rsidRPr="00550940">
              <w:rPr>
                <w:b/>
                <w:bCs/>
                <w:color w:val="808080" w:themeColor="background1" w:themeShade="80"/>
                <w:sz w:val="13"/>
                <w:szCs w:val="13"/>
              </w:rPr>
              <w:fldChar w:fldCharType="end"/>
            </w:r>
            <w:r w:rsidRPr="00550940">
              <w:rPr>
                <w:color w:val="808080" w:themeColor="background1" w:themeShade="80"/>
                <w:sz w:val="13"/>
                <w:szCs w:val="13"/>
              </w:rPr>
              <w:t xml:space="preserve"> av </w:t>
            </w:r>
            <w:r w:rsidRPr="00550940">
              <w:rPr>
                <w:b/>
                <w:bCs/>
                <w:color w:val="808080" w:themeColor="background1" w:themeShade="80"/>
                <w:sz w:val="13"/>
                <w:szCs w:val="13"/>
              </w:rPr>
              <w:fldChar w:fldCharType="begin"/>
            </w:r>
            <w:r w:rsidRPr="00550940">
              <w:rPr>
                <w:b/>
                <w:bCs/>
                <w:color w:val="808080" w:themeColor="background1" w:themeShade="80"/>
                <w:sz w:val="13"/>
                <w:szCs w:val="13"/>
              </w:rPr>
              <w:instrText>NUMPAGES</w:instrText>
            </w:r>
            <w:r w:rsidRPr="00550940">
              <w:rPr>
                <w:b/>
                <w:bCs/>
                <w:color w:val="808080" w:themeColor="background1" w:themeShade="80"/>
                <w:sz w:val="13"/>
                <w:szCs w:val="13"/>
              </w:rPr>
              <w:fldChar w:fldCharType="separate"/>
            </w:r>
            <w:r w:rsidR="005C25E6">
              <w:rPr>
                <w:b/>
                <w:bCs/>
                <w:noProof/>
                <w:color w:val="808080" w:themeColor="background1" w:themeShade="80"/>
                <w:sz w:val="13"/>
                <w:szCs w:val="13"/>
              </w:rPr>
              <w:t>9</w:t>
            </w:r>
            <w:r w:rsidRPr="00550940">
              <w:rPr>
                <w:b/>
                <w:bCs/>
                <w:color w:val="808080" w:themeColor="background1" w:themeShade="80"/>
                <w:sz w:val="13"/>
                <w:szCs w:val="13"/>
              </w:rPr>
              <w:fldChar w:fldCharType="end"/>
            </w:r>
          </w:p>
        </w:sdtContent>
      </w:sdt>
    </w:sdtContent>
  </w:sdt>
  <w:p w14:paraId="132A0F8B" w14:textId="77777777" w:rsidR="002062F1" w:rsidRDefault="002062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325B" w14:textId="77777777" w:rsidR="002062F1" w:rsidRDefault="002062F1" w:rsidP="008420C4">
      <w:pPr>
        <w:spacing w:after="0" w:line="240" w:lineRule="auto"/>
      </w:pPr>
      <w:r>
        <w:separator/>
      </w:r>
    </w:p>
  </w:footnote>
  <w:footnote w:type="continuationSeparator" w:id="0">
    <w:p w14:paraId="7B467B3B" w14:textId="77777777" w:rsidR="002062F1" w:rsidRDefault="002062F1" w:rsidP="0084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08BF" w14:textId="34401D24" w:rsidR="002062F1" w:rsidRDefault="00DE6D6B" w:rsidP="00462A93">
    <w:pPr>
      <w:pStyle w:val="Topptekst"/>
      <w:pBdr>
        <w:bottom w:val="single" w:sz="4" w:space="0" w:color="auto"/>
      </w:pBdr>
      <w:tabs>
        <w:tab w:val="clear" w:pos="4536"/>
        <w:tab w:val="clear" w:pos="9072"/>
        <w:tab w:val="left" w:pos="5245"/>
      </w:tabs>
      <w:rPr>
        <w:sz w:val="16"/>
        <w:szCs w:val="16"/>
      </w:rPr>
    </w:pPr>
    <w:r>
      <w:rPr>
        <w:sz w:val="16"/>
        <w:szCs w:val="16"/>
      </w:rPr>
      <w:t>Vedlegg 7</w:t>
    </w:r>
    <w:r w:rsidR="002062F1">
      <w:rPr>
        <w:sz w:val="16"/>
        <w:szCs w:val="16"/>
      </w:rPr>
      <w:t xml:space="preserve"> Sikkerhet</w:t>
    </w:r>
    <w:r w:rsidR="002062F1">
      <w:rPr>
        <w:sz w:val="16"/>
        <w:szCs w:val="16"/>
      </w:rPr>
      <w:ptab w:relativeTo="margin" w:alignment="center" w:leader="none"/>
    </w:r>
    <w:r w:rsidR="002062F1">
      <w:rPr>
        <w:sz w:val="16"/>
        <w:szCs w:val="16"/>
      </w:rPr>
      <w:t xml:space="preserve">                                                </w:t>
    </w:r>
    <w:r w:rsidR="002062F1">
      <w:rPr>
        <w:sz w:val="16"/>
        <w:szCs w:val="16"/>
      </w:rPr>
      <w:tab/>
      <w:t xml:space="preserve">             </w:t>
    </w:r>
    <w:r w:rsidR="002062F1" w:rsidRPr="00462A93">
      <w:rPr>
        <w:sz w:val="16"/>
        <w:szCs w:val="16"/>
      </w:rPr>
      <w:t>Kontraktsnr</w:t>
    </w:r>
    <w:r w:rsidR="002062F1">
      <w:rPr>
        <w:sz w:val="16"/>
        <w:szCs w:val="16"/>
      </w:rPr>
      <w:t>. R0000</w:t>
    </w:r>
  </w:p>
  <w:p w14:paraId="4006208D" w14:textId="77777777" w:rsidR="002062F1" w:rsidRPr="0007281D" w:rsidRDefault="002062F1" w:rsidP="00462A93">
    <w:pPr>
      <w:pStyle w:val="Topptekst"/>
      <w:pBdr>
        <w:bottom w:val="single" w:sz="4" w:space="0" w:color="auto"/>
      </w:pBdr>
      <w:tabs>
        <w:tab w:val="clear" w:pos="4536"/>
        <w:tab w:val="clear" w:pos="9072"/>
        <w:tab w:val="left" w:pos="5245"/>
      </w:tabs>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C4EE" w14:textId="77777777" w:rsidR="002062F1" w:rsidRDefault="002062F1" w:rsidP="00BA6D42">
    <w:pPr>
      <w:pStyle w:val="Topptekst"/>
      <w:pBdr>
        <w:bottom w:val="single" w:sz="4" w:space="1" w:color="auto"/>
      </w:pBdr>
    </w:pPr>
  </w:p>
  <w:p w14:paraId="1666D6E0" w14:textId="77777777" w:rsidR="002062F1" w:rsidRDefault="002062F1" w:rsidP="00BA6D42">
    <w:pPr>
      <w:pStyle w:val="Topptekst"/>
      <w:pBdr>
        <w:bottom w:val="single" w:sz="4" w:space="1" w:color="auto"/>
      </w:pBdr>
    </w:pPr>
  </w:p>
  <w:p w14:paraId="024DFEE2" w14:textId="77777777" w:rsidR="002062F1" w:rsidRDefault="002062F1" w:rsidP="00BA6D42">
    <w:pPr>
      <w:pStyle w:val="Topptekst"/>
      <w:pBdr>
        <w:bottom w:val="single" w:sz="4" w:space="1" w:color="auto"/>
      </w:pBdr>
    </w:pPr>
  </w:p>
  <w:p w14:paraId="0537DDBA" w14:textId="77777777" w:rsidR="002062F1" w:rsidRDefault="002062F1" w:rsidP="00BA6D42">
    <w:pPr>
      <w:pStyle w:val="Topptekst"/>
      <w:pBdr>
        <w:bottom w:val="single" w:sz="4" w:space="1" w:color="auto"/>
      </w:pBdr>
    </w:pPr>
  </w:p>
  <w:p w14:paraId="4B41CFD6" w14:textId="77777777" w:rsidR="002062F1" w:rsidRDefault="002062F1" w:rsidP="00BA6D42">
    <w:pPr>
      <w:pStyle w:val="Topptekst"/>
      <w:pBdr>
        <w:bottom w:val="single" w:sz="4" w:space="1" w:color="auto"/>
      </w:pBdr>
    </w:pPr>
  </w:p>
  <w:p w14:paraId="36CF161B" w14:textId="77777777" w:rsidR="002062F1" w:rsidRDefault="002062F1" w:rsidP="00BA6D42">
    <w:pPr>
      <w:pStyle w:val="Topptekst"/>
      <w:pBdr>
        <w:bottom w:val="single" w:sz="4" w:space="1" w:color="auto"/>
      </w:pBdr>
    </w:pPr>
  </w:p>
  <w:p w14:paraId="418FDE67" w14:textId="77777777" w:rsidR="002062F1" w:rsidRDefault="002062F1" w:rsidP="00BA6D42">
    <w:pPr>
      <w:pStyle w:val="Topptekst"/>
      <w:pBdr>
        <w:bottom w:val="single" w:sz="4" w:space="1" w:color="auto"/>
      </w:pBdr>
    </w:pPr>
  </w:p>
  <w:p w14:paraId="4753F207" w14:textId="77777777" w:rsidR="002062F1" w:rsidRDefault="002062F1" w:rsidP="00BA6D42">
    <w:pPr>
      <w:pStyle w:val="Topptekst"/>
      <w:pBdr>
        <w:bottom w:val="single" w:sz="4" w:space="1" w:color="auto"/>
      </w:pBdr>
    </w:pPr>
    <w:r>
      <w:rPr>
        <w:noProof/>
        <w:lang w:eastAsia="nb-NO"/>
      </w:rPr>
      <w:drawing>
        <wp:anchor distT="0" distB="0" distL="114300" distR="114300" simplePos="0" relativeHeight="251663360" behindDoc="1" locked="0" layoutInCell="1" allowOverlap="1" wp14:anchorId="12371A96" wp14:editId="67039494">
          <wp:simplePos x="0" y="0"/>
          <wp:positionH relativeFrom="page">
            <wp:posOffset>13970</wp:posOffset>
          </wp:positionH>
          <wp:positionV relativeFrom="page">
            <wp:posOffset>1270</wp:posOffset>
          </wp:positionV>
          <wp:extent cx="2669540" cy="99949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92D5B6"/>
    <w:lvl w:ilvl="0">
      <w:start w:val="1"/>
      <w:numFmt w:val="decimal"/>
      <w:suff w:val="space"/>
      <w:lvlText w:val="%1"/>
      <w:lvlJc w:val="left"/>
      <w:pPr>
        <w:ind w:left="0"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rPr>
        <w:rFonts w:ascii="Wingdings" w:hAnsi="Wingdings" w:hint="default"/>
        <w:sz w:val="40"/>
      </w:rPr>
    </w:lvl>
    <w:lvl w:ilvl="6">
      <w:start w:val="1"/>
      <w:numFmt w:val="none"/>
      <w:suff w:val="space"/>
      <w:lvlText w:val=""/>
      <w:lvlJc w:val="left"/>
      <w:pPr>
        <w:ind w:left="0" w:firstLine="0"/>
      </w:pPr>
      <w:rPr>
        <w:rFonts w:ascii="Wingdings" w:hAnsi="Wingdings" w:hint="default"/>
        <w:sz w:val="44"/>
      </w:rPr>
    </w:lvl>
    <w:lvl w:ilvl="7">
      <w:start w:val="1"/>
      <w:numFmt w:val="none"/>
      <w:suff w:val="space"/>
      <w:lvlText w:val=""/>
      <w:lvlJc w:val="left"/>
      <w:pPr>
        <w:ind w:left="0" w:firstLine="0"/>
      </w:pPr>
      <w:rPr>
        <w:rFonts w:ascii="Wingdings" w:hAnsi="Wingdings" w:hint="default"/>
        <w:b w:val="0"/>
        <w:i w:val="0"/>
        <w:sz w:val="44"/>
      </w:rPr>
    </w:lvl>
    <w:lvl w:ilvl="8">
      <w:start w:val="1"/>
      <w:numFmt w:val="none"/>
      <w:suff w:val="space"/>
      <w:lvlText w:val=""/>
      <w:lvlJc w:val="left"/>
      <w:pPr>
        <w:ind w:left="0" w:firstLine="0"/>
      </w:pPr>
      <w:rPr>
        <w:rFonts w:ascii="Wingdings" w:hAnsi="Wingdings" w:hint="default"/>
        <w:b w:val="0"/>
        <w:i w:val="0"/>
        <w:sz w:val="48"/>
      </w:rPr>
    </w:lvl>
  </w:abstractNum>
  <w:abstractNum w:abstractNumId="1" w15:restartNumberingAfterBreak="0">
    <w:nsid w:val="113C6C3B"/>
    <w:multiLevelType w:val="multilevel"/>
    <w:tmpl w:val="0D3E880E"/>
    <w:lvl w:ilvl="0">
      <w:start w:val="1"/>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187DB8"/>
    <w:multiLevelType w:val="hybridMultilevel"/>
    <w:tmpl w:val="B560CD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 w15:restartNumberingAfterBreak="0">
    <w:nsid w:val="30B42AC3"/>
    <w:multiLevelType w:val="hybridMultilevel"/>
    <w:tmpl w:val="636EE0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206480B"/>
    <w:multiLevelType w:val="hybridMultilevel"/>
    <w:tmpl w:val="3FE483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20502F0"/>
    <w:multiLevelType w:val="multilevel"/>
    <w:tmpl w:val="82BE2B14"/>
    <w:lvl w:ilvl="0">
      <w:start w:val="1"/>
      <w:numFmt w:val="decimal"/>
      <w:pStyle w:val="Overskrift1"/>
      <w:lvlText w:val="%1"/>
      <w:lvlJc w:val="left"/>
      <w:pPr>
        <w:ind w:left="432" w:hanging="432"/>
      </w:pPr>
    </w:lvl>
    <w:lvl w:ilvl="1">
      <w:start w:val="1"/>
      <w:numFmt w:val="decimal"/>
      <w:pStyle w:val="Overskrift2"/>
      <w:lvlText w:val="%1.%2"/>
      <w:lvlJc w:val="left"/>
      <w:pPr>
        <w:ind w:left="1427"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4C86AFE"/>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9" w15:restartNumberingAfterBreak="0">
    <w:nsid w:val="63870CFD"/>
    <w:multiLevelType w:val="hybridMultilevel"/>
    <w:tmpl w:val="DE0045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B071A8F"/>
    <w:multiLevelType w:val="hybridMultilevel"/>
    <w:tmpl w:val="1E1C7418"/>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1" w15:restartNumberingAfterBreak="0">
    <w:nsid w:val="7F7A3824"/>
    <w:multiLevelType w:val="hybridMultilevel"/>
    <w:tmpl w:val="D58AB7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1"/>
  </w:num>
  <w:num w:numId="9">
    <w:abstractNumId w:val="2"/>
  </w:num>
  <w:num w:numId="10">
    <w:abstractNumId w:val="5"/>
  </w:num>
  <w:num w:numId="11">
    <w:abstractNumId w:val="4"/>
  </w:num>
  <w:num w:numId="12">
    <w:abstractNumId w:val="0"/>
    <w:lvlOverride w:ilvl="0">
      <w:startOverride w:val="1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nb-NO" w:vendorID="64" w:dllVersion="131078" w:nlCheck="1" w:checkStyle="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4"/>
    <w:rsid w:val="00004EB4"/>
    <w:rsid w:val="00012E38"/>
    <w:rsid w:val="00037D1D"/>
    <w:rsid w:val="00042AEB"/>
    <w:rsid w:val="00067956"/>
    <w:rsid w:val="00067A2C"/>
    <w:rsid w:val="0007281D"/>
    <w:rsid w:val="000842CE"/>
    <w:rsid w:val="000A29EE"/>
    <w:rsid w:val="000B24C2"/>
    <w:rsid w:val="000D3583"/>
    <w:rsid w:val="000D4A57"/>
    <w:rsid w:val="000E0497"/>
    <w:rsid w:val="000F5158"/>
    <w:rsid w:val="00105083"/>
    <w:rsid w:val="00107770"/>
    <w:rsid w:val="0011697A"/>
    <w:rsid w:val="00117C76"/>
    <w:rsid w:val="00126409"/>
    <w:rsid w:val="001428D5"/>
    <w:rsid w:val="00143B6E"/>
    <w:rsid w:val="00147600"/>
    <w:rsid w:val="00150D85"/>
    <w:rsid w:val="001614E5"/>
    <w:rsid w:val="00170538"/>
    <w:rsid w:val="00171B5F"/>
    <w:rsid w:val="0019164C"/>
    <w:rsid w:val="001917D8"/>
    <w:rsid w:val="001A238A"/>
    <w:rsid w:val="001A6353"/>
    <w:rsid w:val="001B129B"/>
    <w:rsid w:val="001B6496"/>
    <w:rsid w:val="001C37AC"/>
    <w:rsid w:val="001C74AF"/>
    <w:rsid w:val="001E5F4A"/>
    <w:rsid w:val="001F10D6"/>
    <w:rsid w:val="001F5A6A"/>
    <w:rsid w:val="002062F1"/>
    <w:rsid w:val="002317D9"/>
    <w:rsid w:val="002616C5"/>
    <w:rsid w:val="00264A6A"/>
    <w:rsid w:val="002707A3"/>
    <w:rsid w:val="00284B4C"/>
    <w:rsid w:val="00293855"/>
    <w:rsid w:val="002A6784"/>
    <w:rsid w:val="002B05A9"/>
    <w:rsid w:val="002B4C06"/>
    <w:rsid w:val="002B6634"/>
    <w:rsid w:val="002C7779"/>
    <w:rsid w:val="002E2AD1"/>
    <w:rsid w:val="002E6B6F"/>
    <w:rsid w:val="002F586B"/>
    <w:rsid w:val="003019B4"/>
    <w:rsid w:val="003049EB"/>
    <w:rsid w:val="003263D6"/>
    <w:rsid w:val="00326610"/>
    <w:rsid w:val="0033045C"/>
    <w:rsid w:val="00333810"/>
    <w:rsid w:val="00336522"/>
    <w:rsid w:val="00347894"/>
    <w:rsid w:val="0035212D"/>
    <w:rsid w:val="00357BE5"/>
    <w:rsid w:val="003648DB"/>
    <w:rsid w:val="00375C95"/>
    <w:rsid w:val="00382C70"/>
    <w:rsid w:val="0038757F"/>
    <w:rsid w:val="0039255E"/>
    <w:rsid w:val="0039400D"/>
    <w:rsid w:val="00395EF2"/>
    <w:rsid w:val="003A094B"/>
    <w:rsid w:val="003A69BA"/>
    <w:rsid w:val="003B299F"/>
    <w:rsid w:val="003B77A3"/>
    <w:rsid w:val="0043737A"/>
    <w:rsid w:val="00443AD5"/>
    <w:rsid w:val="00447811"/>
    <w:rsid w:val="00462A93"/>
    <w:rsid w:val="00476234"/>
    <w:rsid w:val="00476DA0"/>
    <w:rsid w:val="004817C4"/>
    <w:rsid w:val="004841B9"/>
    <w:rsid w:val="00490E47"/>
    <w:rsid w:val="004B2469"/>
    <w:rsid w:val="004D4A4D"/>
    <w:rsid w:val="004D4B06"/>
    <w:rsid w:val="004F062F"/>
    <w:rsid w:val="004F2CC3"/>
    <w:rsid w:val="004F7B8E"/>
    <w:rsid w:val="00501A2B"/>
    <w:rsid w:val="0051467E"/>
    <w:rsid w:val="005170A7"/>
    <w:rsid w:val="00520777"/>
    <w:rsid w:val="005249FC"/>
    <w:rsid w:val="00531200"/>
    <w:rsid w:val="00532142"/>
    <w:rsid w:val="0053585A"/>
    <w:rsid w:val="0053769A"/>
    <w:rsid w:val="005507A4"/>
    <w:rsid w:val="00550940"/>
    <w:rsid w:val="005652A5"/>
    <w:rsid w:val="005748A4"/>
    <w:rsid w:val="00582962"/>
    <w:rsid w:val="00584644"/>
    <w:rsid w:val="005A7386"/>
    <w:rsid w:val="005B0C52"/>
    <w:rsid w:val="005B0CB2"/>
    <w:rsid w:val="005B0D28"/>
    <w:rsid w:val="005C25E6"/>
    <w:rsid w:val="005D3852"/>
    <w:rsid w:val="005D3AEC"/>
    <w:rsid w:val="005D5186"/>
    <w:rsid w:val="005F4AF5"/>
    <w:rsid w:val="005F61CE"/>
    <w:rsid w:val="00607E3F"/>
    <w:rsid w:val="00610D39"/>
    <w:rsid w:val="0064662E"/>
    <w:rsid w:val="006474BE"/>
    <w:rsid w:val="00661A12"/>
    <w:rsid w:val="00672371"/>
    <w:rsid w:val="00682F8E"/>
    <w:rsid w:val="006A260D"/>
    <w:rsid w:val="006C3290"/>
    <w:rsid w:val="006E1202"/>
    <w:rsid w:val="006E5C06"/>
    <w:rsid w:val="006F2F7E"/>
    <w:rsid w:val="00703498"/>
    <w:rsid w:val="007059AE"/>
    <w:rsid w:val="0071515B"/>
    <w:rsid w:val="00716635"/>
    <w:rsid w:val="00721A1B"/>
    <w:rsid w:val="00730443"/>
    <w:rsid w:val="00746AD2"/>
    <w:rsid w:val="00752350"/>
    <w:rsid w:val="00767A40"/>
    <w:rsid w:val="00782ED3"/>
    <w:rsid w:val="007A4680"/>
    <w:rsid w:val="007B72F5"/>
    <w:rsid w:val="007D59A4"/>
    <w:rsid w:val="007E0777"/>
    <w:rsid w:val="007E53E6"/>
    <w:rsid w:val="007F2745"/>
    <w:rsid w:val="007F38A5"/>
    <w:rsid w:val="007F6359"/>
    <w:rsid w:val="00803793"/>
    <w:rsid w:val="0082619D"/>
    <w:rsid w:val="00830958"/>
    <w:rsid w:val="00831630"/>
    <w:rsid w:val="008351E1"/>
    <w:rsid w:val="00836C22"/>
    <w:rsid w:val="008420C4"/>
    <w:rsid w:val="00844DAD"/>
    <w:rsid w:val="0085317B"/>
    <w:rsid w:val="00853B2D"/>
    <w:rsid w:val="00862502"/>
    <w:rsid w:val="0086432D"/>
    <w:rsid w:val="00873A93"/>
    <w:rsid w:val="00881AFD"/>
    <w:rsid w:val="00893DB6"/>
    <w:rsid w:val="008B2A1D"/>
    <w:rsid w:val="008B63E3"/>
    <w:rsid w:val="008C10F9"/>
    <w:rsid w:val="008C17EF"/>
    <w:rsid w:val="008E088C"/>
    <w:rsid w:val="008E123B"/>
    <w:rsid w:val="008E40CA"/>
    <w:rsid w:val="009126D2"/>
    <w:rsid w:val="00922375"/>
    <w:rsid w:val="00933FB5"/>
    <w:rsid w:val="009458FE"/>
    <w:rsid w:val="00963604"/>
    <w:rsid w:val="00966642"/>
    <w:rsid w:val="00976953"/>
    <w:rsid w:val="009872EF"/>
    <w:rsid w:val="009879D6"/>
    <w:rsid w:val="009A1E59"/>
    <w:rsid w:val="009A50F2"/>
    <w:rsid w:val="009B34F4"/>
    <w:rsid w:val="009B4D1F"/>
    <w:rsid w:val="009D0C79"/>
    <w:rsid w:val="009D5FE9"/>
    <w:rsid w:val="009F1457"/>
    <w:rsid w:val="009F1F15"/>
    <w:rsid w:val="009F3FB5"/>
    <w:rsid w:val="009F71B0"/>
    <w:rsid w:val="00A0556B"/>
    <w:rsid w:val="00A14528"/>
    <w:rsid w:val="00A165CC"/>
    <w:rsid w:val="00A2155C"/>
    <w:rsid w:val="00A35770"/>
    <w:rsid w:val="00A4375B"/>
    <w:rsid w:val="00A47E58"/>
    <w:rsid w:val="00A57182"/>
    <w:rsid w:val="00A60FC7"/>
    <w:rsid w:val="00A921BA"/>
    <w:rsid w:val="00AB3CE6"/>
    <w:rsid w:val="00AC2DB0"/>
    <w:rsid w:val="00AD6B35"/>
    <w:rsid w:val="00B03164"/>
    <w:rsid w:val="00B06534"/>
    <w:rsid w:val="00B12CBA"/>
    <w:rsid w:val="00B20118"/>
    <w:rsid w:val="00B204C4"/>
    <w:rsid w:val="00B24618"/>
    <w:rsid w:val="00B476EF"/>
    <w:rsid w:val="00B5373B"/>
    <w:rsid w:val="00B56339"/>
    <w:rsid w:val="00B607FD"/>
    <w:rsid w:val="00B916F2"/>
    <w:rsid w:val="00B93744"/>
    <w:rsid w:val="00BA6D42"/>
    <w:rsid w:val="00BA6EFD"/>
    <w:rsid w:val="00BB5716"/>
    <w:rsid w:val="00BE0844"/>
    <w:rsid w:val="00BE2CCD"/>
    <w:rsid w:val="00BE3466"/>
    <w:rsid w:val="00BE7393"/>
    <w:rsid w:val="00BF2A39"/>
    <w:rsid w:val="00BF53F7"/>
    <w:rsid w:val="00BF5598"/>
    <w:rsid w:val="00C06287"/>
    <w:rsid w:val="00C11D8B"/>
    <w:rsid w:val="00C23B77"/>
    <w:rsid w:val="00C24E6B"/>
    <w:rsid w:val="00C558E6"/>
    <w:rsid w:val="00C60499"/>
    <w:rsid w:val="00C6068F"/>
    <w:rsid w:val="00C6695A"/>
    <w:rsid w:val="00C7634A"/>
    <w:rsid w:val="00CA15DB"/>
    <w:rsid w:val="00CA35F4"/>
    <w:rsid w:val="00CA549E"/>
    <w:rsid w:val="00CA6231"/>
    <w:rsid w:val="00CB6C63"/>
    <w:rsid w:val="00CC067E"/>
    <w:rsid w:val="00CC2DEA"/>
    <w:rsid w:val="00CC55CE"/>
    <w:rsid w:val="00CD33BC"/>
    <w:rsid w:val="00CE0134"/>
    <w:rsid w:val="00CE0A38"/>
    <w:rsid w:val="00CF4BF0"/>
    <w:rsid w:val="00CF553E"/>
    <w:rsid w:val="00D0043F"/>
    <w:rsid w:val="00D03CB8"/>
    <w:rsid w:val="00D143B2"/>
    <w:rsid w:val="00D21954"/>
    <w:rsid w:val="00D63F74"/>
    <w:rsid w:val="00D83311"/>
    <w:rsid w:val="00DA58CB"/>
    <w:rsid w:val="00DB103F"/>
    <w:rsid w:val="00DC0ABF"/>
    <w:rsid w:val="00DD31A5"/>
    <w:rsid w:val="00DE3F6B"/>
    <w:rsid w:val="00DE6D6B"/>
    <w:rsid w:val="00DF12C2"/>
    <w:rsid w:val="00DF7BAF"/>
    <w:rsid w:val="00E217DB"/>
    <w:rsid w:val="00E21B16"/>
    <w:rsid w:val="00E25DD2"/>
    <w:rsid w:val="00E43368"/>
    <w:rsid w:val="00E57D90"/>
    <w:rsid w:val="00E6327F"/>
    <w:rsid w:val="00E64C21"/>
    <w:rsid w:val="00E67469"/>
    <w:rsid w:val="00E67707"/>
    <w:rsid w:val="00E70AF7"/>
    <w:rsid w:val="00E74477"/>
    <w:rsid w:val="00EC73E9"/>
    <w:rsid w:val="00ED0CEE"/>
    <w:rsid w:val="00ED5308"/>
    <w:rsid w:val="00EE663B"/>
    <w:rsid w:val="00EF176F"/>
    <w:rsid w:val="00F0192B"/>
    <w:rsid w:val="00F364D0"/>
    <w:rsid w:val="00F404BF"/>
    <w:rsid w:val="00F45A98"/>
    <w:rsid w:val="00F552EE"/>
    <w:rsid w:val="00F565F1"/>
    <w:rsid w:val="00F5744F"/>
    <w:rsid w:val="00F66D39"/>
    <w:rsid w:val="00F7458E"/>
    <w:rsid w:val="00F77937"/>
    <w:rsid w:val="00F86EC1"/>
    <w:rsid w:val="00F9041C"/>
    <w:rsid w:val="00F90423"/>
    <w:rsid w:val="00F9132A"/>
    <w:rsid w:val="00F94225"/>
    <w:rsid w:val="00F963A5"/>
    <w:rsid w:val="00F970C0"/>
    <w:rsid w:val="00FB526B"/>
    <w:rsid w:val="00FC67B8"/>
    <w:rsid w:val="00FD02C0"/>
    <w:rsid w:val="00FE1362"/>
    <w:rsid w:val="00FE227B"/>
    <w:rsid w:val="00FE3BE2"/>
    <w:rsid w:val="00FE64BF"/>
    <w:rsid w:val="00FF18F9"/>
    <w:rsid w:val="00FF76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F67D26D"/>
  <w15:chartTrackingRefBased/>
  <w15:docId w15:val="{2D1D6EF7-61B9-40C1-BB7A-7399F11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C4"/>
    <w:rPr>
      <w:rFonts w:ascii="Arial" w:hAnsi="Arial"/>
      <w:sz w:val="20"/>
    </w:rPr>
  </w:style>
  <w:style w:type="paragraph" w:styleId="Overskrift1">
    <w:name w:val="heading 1"/>
    <w:basedOn w:val="Listeavsnitt"/>
    <w:next w:val="Normal"/>
    <w:link w:val="Overskrift1Tegn"/>
    <w:uiPriority w:val="9"/>
    <w:qFormat/>
    <w:rsid w:val="00C23B77"/>
    <w:pPr>
      <w:numPr>
        <w:numId w:val="2"/>
      </w:numPr>
      <w:outlineLvl w:val="0"/>
    </w:pPr>
    <w:rPr>
      <w:b/>
    </w:rPr>
  </w:style>
  <w:style w:type="paragraph" w:styleId="Overskrift2">
    <w:name w:val="heading 2"/>
    <w:basedOn w:val="Listeavsnitt"/>
    <w:next w:val="Normal"/>
    <w:link w:val="Overskrift2Tegn"/>
    <w:uiPriority w:val="9"/>
    <w:unhideWhenUsed/>
    <w:qFormat/>
    <w:rsid w:val="00893DB6"/>
    <w:pPr>
      <w:numPr>
        <w:ilvl w:val="1"/>
        <w:numId w:val="2"/>
      </w:numPr>
      <w:outlineLvl w:val="1"/>
    </w:pPr>
    <w:rPr>
      <w:b/>
    </w:rPr>
  </w:style>
  <w:style w:type="paragraph" w:styleId="Overskrift3">
    <w:name w:val="heading 3"/>
    <w:basedOn w:val="Listeavsnitt"/>
    <w:next w:val="Normal"/>
    <w:link w:val="Overskrift3Tegn"/>
    <w:uiPriority w:val="9"/>
    <w:unhideWhenUsed/>
    <w:qFormat/>
    <w:rsid w:val="00893DB6"/>
    <w:pPr>
      <w:numPr>
        <w:ilvl w:val="2"/>
        <w:numId w:val="2"/>
      </w:numPr>
      <w:outlineLvl w:val="2"/>
    </w:pPr>
    <w:rPr>
      <w:b/>
    </w:rPr>
  </w:style>
  <w:style w:type="paragraph" w:styleId="Overskrift4">
    <w:name w:val="heading 4"/>
    <w:basedOn w:val="Normal"/>
    <w:next w:val="Normal"/>
    <w:link w:val="Overskrift4Tegn"/>
    <w:uiPriority w:val="9"/>
    <w:unhideWhenUsed/>
    <w:qFormat/>
    <w:rsid w:val="00893DB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nhideWhenUsed/>
    <w:qFormat/>
    <w:rsid w:val="00893DB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nhideWhenUsed/>
    <w:qFormat/>
    <w:rsid w:val="00893DB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nhideWhenUsed/>
    <w:qFormat/>
    <w:rsid w:val="00893DB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nhideWhenUsed/>
    <w:qFormat/>
    <w:rsid w:val="00893D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93D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3B77"/>
    <w:rPr>
      <w:rFonts w:ascii="Arial" w:hAnsi="Arial"/>
      <w:b/>
      <w:sz w:val="20"/>
    </w:rPr>
  </w:style>
  <w:style w:type="paragraph" w:styleId="Topptekst">
    <w:name w:val="header"/>
    <w:basedOn w:val="Normal"/>
    <w:link w:val="TopptekstTegn"/>
    <w:uiPriority w:val="99"/>
    <w:unhideWhenUsed/>
    <w:rsid w:val="008420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20C4"/>
    <w:rPr>
      <w:rFonts w:ascii="Arial" w:hAnsi="Arial"/>
      <w:sz w:val="20"/>
    </w:rPr>
  </w:style>
  <w:style w:type="paragraph" w:styleId="Bunntekst">
    <w:name w:val="footer"/>
    <w:basedOn w:val="Normal"/>
    <w:link w:val="BunntekstTegn"/>
    <w:uiPriority w:val="99"/>
    <w:unhideWhenUsed/>
    <w:rsid w:val="008420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20C4"/>
    <w:rPr>
      <w:rFonts w:ascii="Arial" w:hAnsi="Arial"/>
      <w:sz w:val="20"/>
    </w:rPr>
  </w:style>
  <w:style w:type="character" w:customStyle="1" w:styleId="Overskrift2Tegn">
    <w:name w:val="Overskrift 2 Tegn"/>
    <w:basedOn w:val="Standardskriftforavsnitt"/>
    <w:link w:val="Overskrift2"/>
    <w:uiPriority w:val="9"/>
    <w:rsid w:val="00893DB6"/>
    <w:rPr>
      <w:rFonts w:ascii="Arial" w:hAnsi="Arial"/>
      <w:b/>
      <w:sz w:val="20"/>
    </w:rPr>
  </w:style>
  <w:style w:type="character" w:customStyle="1" w:styleId="Overskrift3Tegn">
    <w:name w:val="Overskrift 3 Tegn"/>
    <w:basedOn w:val="Standardskriftforavsnitt"/>
    <w:link w:val="Overskrift3"/>
    <w:uiPriority w:val="9"/>
    <w:rsid w:val="00893DB6"/>
    <w:rPr>
      <w:rFonts w:ascii="Arial" w:hAnsi="Arial"/>
      <w:b/>
      <w:sz w:val="20"/>
    </w:rPr>
  </w:style>
  <w:style w:type="character" w:customStyle="1" w:styleId="Overskrift4Tegn">
    <w:name w:val="Overskrift 4 Tegn"/>
    <w:basedOn w:val="Standardskriftforavsnitt"/>
    <w:link w:val="Overskrift4"/>
    <w:uiPriority w:val="9"/>
    <w:rsid w:val="00893DB6"/>
    <w:rPr>
      <w:rFonts w:asciiTheme="majorHAnsi" w:eastAsiaTheme="majorEastAsia" w:hAnsiTheme="majorHAnsi" w:cstheme="majorBidi"/>
      <w:i/>
      <w:iCs/>
      <w:color w:val="2E74B5" w:themeColor="accent1" w:themeShade="BF"/>
      <w:sz w:val="20"/>
    </w:rPr>
  </w:style>
  <w:style w:type="character" w:customStyle="1" w:styleId="Overskrift5Tegn">
    <w:name w:val="Overskrift 5 Tegn"/>
    <w:basedOn w:val="Standardskriftforavsnitt"/>
    <w:link w:val="Overskrift5"/>
    <w:rsid w:val="00893DB6"/>
    <w:rPr>
      <w:rFonts w:asciiTheme="majorHAnsi" w:eastAsiaTheme="majorEastAsia" w:hAnsiTheme="majorHAnsi" w:cstheme="majorBidi"/>
      <w:color w:val="2E74B5" w:themeColor="accent1" w:themeShade="BF"/>
      <w:sz w:val="20"/>
    </w:rPr>
  </w:style>
  <w:style w:type="character" w:customStyle="1" w:styleId="Overskrift6Tegn">
    <w:name w:val="Overskrift 6 Tegn"/>
    <w:basedOn w:val="Standardskriftforavsnitt"/>
    <w:link w:val="Overskrift6"/>
    <w:rsid w:val="00893DB6"/>
    <w:rPr>
      <w:rFonts w:asciiTheme="majorHAnsi" w:eastAsiaTheme="majorEastAsia" w:hAnsiTheme="majorHAnsi" w:cstheme="majorBidi"/>
      <w:color w:val="1F4D78" w:themeColor="accent1" w:themeShade="7F"/>
      <w:sz w:val="20"/>
    </w:rPr>
  </w:style>
  <w:style w:type="character" w:customStyle="1" w:styleId="Overskrift7Tegn">
    <w:name w:val="Overskrift 7 Tegn"/>
    <w:basedOn w:val="Standardskriftforavsnitt"/>
    <w:link w:val="Overskrift7"/>
    <w:rsid w:val="00893DB6"/>
    <w:rPr>
      <w:rFonts w:asciiTheme="majorHAnsi" w:eastAsiaTheme="majorEastAsia" w:hAnsiTheme="majorHAnsi" w:cstheme="majorBidi"/>
      <w:i/>
      <w:iCs/>
      <w:color w:val="1F4D78" w:themeColor="accent1" w:themeShade="7F"/>
      <w:sz w:val="20"/>
    </w:rPr>
  </w:style>
  <w:style w:type="character" w:customStyle="1" w:styleId="Overskrift8Tegn">
    <w:name w:val="Overskrift 8 Tegn"/>
    <w:basedOn w:val="Standardskriftforavsnitt"/>
    <w:link w:val="Overskrift8"/>
    <w:rsid w:val="00893DB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93DB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893DB6"/>
    <w:pPr>
      <w:ind w:left="720"/>
      <w:contextualSpacing/>
    </w:pPr>
  </w:style>
  <w:style w:type="paragraph" w:styleId="Brdtekst">
    <w:name w:val="Body Text"/>
    <w:basedOn w:val="Normal"/>
    <w:next w:val="Normal"/>
    <w:link w:val="BrdtekstTegn"/>
    <w:rsid w:val="00C23B77"/>
    <w:pPr>
      <w:spacing w:before="60" w:after="60" w:line="240" w:lineRule="auto"/>
    </w:pPr>
    <w:rPr>
      <w:rFonts w:ascii="Cambria" w:eastAsia="Times New Roman" w:hAnsi="Cambria" w:cs="Times New Roman"/>
      <w:lang w:eastAsia="nb-NO"/>
    </w:rPr>
  </w:style>
  <w:style w:type="character" w:customStyle="1" w:styleId="BrdtekstTegn">
    <w:name w:val="Brødtekst Tegn"/>
    <w:basedOn w:val="Standardskriftforavsnitt"/>
    <w:link w:val="Brdtekst"/>
    <w:rsid w:val="00C23B77"/>
    <w:rPr>
      <w:rFonts w:ascii="Cambria" w:eastAsia="Times New Roman" w:hAnsi="Cambria" w:cs="Times New Roman"/>
      <w:sz w:val="20"/>
      <w:lang w:eastAsia="nb-NO"/>
    </w:rPr>
  </w:style>
  <w:style w:type="paragraph" w:customStyle="1" w:styleId="Brdtekstpaaflgende">
    <w:name w:val="Brødtekst paafølgende"/>
    <w:basedOn w:val="Brdtekst"/>
    <w:link w:val="BrdtekstpaaflgendeTegn"/>
    <w:rsid w:val="00462A93"/>
  </w:style>
  <w:style w:type="character" w:styleId="Merknadsreferanse">
    <w:name w:val="annotation reference"/>
    <w:basedOn w:val="Standardskriftforavsnitt"/>
    <w:rsid w:val="00C06287"/>
    <w:rPr>
      <w:sz w:val="16"/>
      <w:szCs w:val="16"/>
    </w:rPr>
  </w:style>
  <w:style w:type="paragraph" w:styleId="Merknadstekst">
    <w:name w:val="annotation text"/>
    <w:basedOn w:val="Normal"/>
    <w:link w:val="MerknadstekstTegn"/>
    <w:rsid w:val="00C06287"/>
    <w:pPr>
      <w:spacing w:after="240" w:line="240" w:lineRule="atLeast"/>
    </w:pPr>
    <w:rPr>
      <w:rFonts w:asciiTheme="minorHAnsi" w:hAnsiTheme="minorHAnsi"/>
      <w:szCs w:val="20"/>
    </w:rPr>
  </w:style>
  <w:style w:type="character" w:customStyle="1" w:styleId="MerknadstekstTegn">
    <w:name w:val="Merknadstekst Tegn"/>
    <w:basedOn w:val="Standardskriftforavsnitt"/>
    <w:link w:val="Merknadstekst"/>
    <w:rsid w:val="00C06287"/>
    <w:rPr>
      <w:sz w:val="20"/>
      <w:szCs w:val="20"/>
    </w:rPr>
  </w:style>
  <w:style w:type="paragraph" w:styleId="Bobletekst">
    <w:name w:val="Balloon Text"/>
    <w:basedOn w:val="Normal"/>
    <w:link w:val="BobletekstTegn"/>
    <w:uiPriority w:val="99"/>
    <w:semiHidden/>
    <w:unhideWhenUsed/>
    <w:rsid w:val="00C062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287"/>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966642"/>
    <w:pPr>
      <w:spacing w:after="160" w:line="240" w:lineRule="auto"/>
    </w:pPr>
    <w:rPr>
      <w:rFonts w:ascii="Arial" w:hAnsi="Arial"/>
      <w:b/>
      <w:bCs/>
    </w:rPr>
  </w:style>
  <w:style w:type="character" w:customStyle="1" w:styleId="KommentaremneTegn">
    <w:name w:val="Kommentaremne Tegn"/>
    <w:basedOn w:val="MerknadstekstTegn"/>
    <w:link w:val="Kommentaremne"/>
    <w:uiPriority w:val="99"/>
    <w:semiHidden/>
    <w:rsid w:val="00966642"/>
    <w:rPr>
      <w:rFonts w:ascii="Arial" w:hAnsi="Arial"/>
      <w:b/>
      <w:bCs/>
      <w:sz w:val="20"/>
      <w:szCs w:val="20"/>
    </w:rPr>
  </w:style>
  <w:style w:type="paragraph" w:styleId="Overskriftforinnholdsfortegnelse">
    <w:name w:val="TOC Heading"/>
    <w:basedOn w:val="Overskrift1"/>
    <w:next w:val="Normal"/>
    <w:uiPriority w:val="39"/>
    <w:unhideWhenUsed/>
    <w:qFormat/>
    <w:rsid w:val="008B2A1D"/>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nb-NO"/>
    </w:rPr>
  </w:style>
  <w:style w:type="paragraph" w:styleId="INNH1">
    <w:name w:val="toc 1"/>
    <w:basedOn w:val="Normal"/>
    <w:next w:val="Normal"/>
    <w:autoRedefine/>
    <w:uiPriority w:val="39"/>
    <w:unhideWhenUsed/>
    <w:rsid w:val="008B2A1D"/>
    <w:pPr>
      <w:spacing w:after="100"/>
    </w:pPr>
  </w:style>
  <w:style w:type="paragraph" w:styleId="INNH2">
    <w:name w:val="toc 2"/>
    <w:basedOn w:val="Normal"/>
    <w:next w:val="Normal"/>
    <w:autoRedefine/>
    <w:uiPriority w:val="39"/>
    <w:unhideWhenUsed/>
    <w:rsid w:val="008B2A1D"/>
    <w:pPr>
      <w:spacing w:after="100"/>
      <w:ind w:left="200"/>
    </w:pPr>
  </w:style>
  <w:style w:type="character" w:styleId="Hyperkobling">
    <w:name w:val="Hyperlink"/>
    <w:basedOn w:val="Standardskriftforavsnitt"/>
    <w:uiPriority w:val="99"/>
    <w:unhideWhenUsed/>
    <w:rsid w:val="008B2A1D"/>
    <w:rPr>
      <w:color w:val="0563C1" w:themeColor="hyperlink"/>
      <w:u w:val="single"/>
    </w:rPr>
  </w:style>
  <w:style w:type="character" w:customStyle="1" w:styleId="BrdtekstpaaflgendeTegn">
    <w:name w:val="Brødtekst paafølgende Tegn"/>
    <w:link w:val="Brdtekstpaaflgende"/>
    <w:locked/>
    <w:rsid w:val="00BF5598"/>
    <w:rPr>
      <w:rFonts w:ascii="Cambria" w:eastAsia="Times New Roman" w:hAnsi="Cambria" w:cs="Times New Roman"/>
      <w:sz w:val="20"/>
      <w:lang w:eastAsia="nb-NO"/>
    </w:rPr>
  </w:style>
  <w:style w:type="paragraph" w:styleId="Ingenmellomrom">
    <w:name w:val="No Spacing"/>
    <w:uiPriority w:val="1"/>
    <w:qFormat/>
    <w:rsid w:val="00D63F74"/>
    <w:pPr>
      <w:spacing w:after="0" w:line="240" w:lineRule="auto"/>
    </w:pPr>
  </w:style>
  <w:style w:type="paragraph" w:styleId="INNH3">
    <w:name w:val="toc 3"/>
    <w:basedOn w:val="Normal"/>
    <w:next w:val="Normal"/>
    <w:autoRedefine/>
    <w:uiPriority w:val="39"/>
    <w:unhideWhenUsed/>
    <w:rsid w:val="009F3FB5"/>
    <w:pPr>
      <w:spacing w:after="100"/>
      <w:ind w:left="400"/>
    </w:pPr>
  </w:style>
  <w:style w:type="paragraph" w:styleId="Punktliste">
    <w:name w:val="List Bullet"/>
    <w:basedOn w:val="Normal"/>
    <w:rsid w:val="009D5FE9"/>
    <w:pPr>
      <w:numPr>
        <w:numId w:val="3"/>
      </w:numPr>
      <w:tabs>
        <w:tab w:val="clear" w:pos="360"/>
      </w:tabs>
      <w:spacing w:before="20" w:after="40" w:line="240" w:lineRule="auto"/>
      <w:ind w:left="284" w:hanging="284"/>
    </w:pPr>
    <w:rPr>
      <w:rFonts w:ascii="Garamond" w:eastAsia="Times New Roman" w:hAnsi="Garamond" w:cs="Times New Roman"/>
      <w:sz w:val="22"/>
      <w:lang w:eastAsia="nb-NO"/>
    </w:rPr>
  </w:style>
  <w:style w:type="character" w:styleId="Plassholdertekst">
    <w:name w:val="Placeholder Text"/>
    <w:basedOn w:val="Standardskriftforavsnitt"/>
    <w:uiPriority w:val="99"/>
    <w:semiHidden/>
    <w:rsid w:val="0051467E"/>
    <w:rPr>
      <w:color w:val="808080"/>
    </w:rPr>
  </w:style>
  <w:style w:type="table" w:styleId="Tabellrutenett">
    <w:name w:val="Table Grid"/>
    <w:basedOn w:val="Vanligtabell"/>
    <w:uiPriority w:val="39"/>
    <w:rsid w:val="0008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rsid w:val="00037D1D"/>
    <w:pPr>
      <w:spacing w:after="120" w:line="480" w:lineRule="auto"/>
    </w:pPr>
    <w:rPr>
      <w:rFonts w:ascii="Garamond" w:eastAsia="Times New Roman" w:hAnsi="Garamond" w:cs="Times New Roman"/>
      <w:sz w:val="22"/>
      <w:lang w:eastAsia="nb-NO"/>
    </w:rPr>
  </w:style>
  <w:style w:type="character" w:customStyle="1" w:styleId="Brdtekst2Tegn">
    <w:name w:val="Brødtekst 2 Tegn"/>
    <w:basedOn w:val="Standardskriftforavsnitt"/>
    <w:link w:val="Brdtekst2"/>
    <w:rsid w:val="00037D1D"/>
    <w:rPr>
      <w:rFonts w:ascii="Garamond" w:eastAsia="Times New Roman" w:hAnsi="Garamond" w:cs="Times New Roman"/>
      <w:lang w:eastAsia="nb-NO"/>
    </w:rPr>
  </w:style>
  <w:style w:type="paragraph" w:customStyle="1" w:styleId="nummerertliste1">
    <w:name w:val="nummerert liste 1"/>
    <w:basedOn w:val="Normal"/>
    <w:semiHidden/>
    <w:rsid w:val="00ED5308"/>
    <w:pPr>
      <w:numPr>
        <w:numId w:val="4"/>
      </w:numPr>
      <w:suppressLineNumbers/>
      <w:suppressAutoHyphens/>
      <w:spacing w:after="180" w:line="240" w:lineRule="auto"/>
    </w:pPr>
    <w:rPr>
      <w:rFonts w:eastAsia="Times New Roman" w:cs="Times New Roman"/>
      <w:sz w:val="22"/>
      <w:lang w:eastAsia="ar-SA"/>
    </w:rPr>
  </w:style>
  <w:style w:type="paragraph" w:customStyle="1" w:styleId="Bokstavliste2">
    <w:name w:val="Bokstavliste 2"/>
    <w:basedOn w:val="Normal"/>
    <w:semiHidden/>
    <w:rsid w:val="00ED5308"/>
    <w:pPr>
      <w:numPr>
        <w:ilvl w:val="1"/>
        <w:numId w:val="4"/>
      </w:numPr>
      <w:suppressLineNumbers/>
      <w:suppressAutoHyphens/>
      <w:spacing w:after="60" w:line="240" w:lineRule="auto"/>
    </w:pPr>
    <w:rPr>
      <w:rFonts w:eastAsia="Times New Roman" w:cs="Times New Roman"/>
      <w:sz w:val="22"/>
      <w:lang w:eastAsia="ar-SA"/>
    </w:rPr>
  </w:style>
  <w:style w:type="paragraph" w:customStyle="1" w:styleId="Teknisk4">
    <w:name w:val="Teknisk 4"/>
    <w:rsid w:val="00B03164"/>
    <w:pPr>
      <w:tabs>
        <w:tab w:val="left" w:pos="-720"/>
      </w:tabs>
      <w:suppressAutoHyphens/>
      <w:spacing w:after="0" w:line="240" w:lineRule="auto"/>
    </w:pPr>
    <w:rPr>
      <w:rFonts w:ascii="Courier New" w:eastAsia="Times New Roman" w:hAnsi="Courier New" w:cs="Times New Roman"/>
      <w:b/>
      <w:sz w:val="24"/>
      <w:szCs w:val="20"/>
      <w:lang w:val="en-US" w:eastAsia="nb-NO"/>
    </w:rPr>
  </w:style>
  <w:style w:type="table" w:customStyle="1" w:styleId="Forsvarsbygg1">
    <w:name w:val="Forsvarsbygg 1"/>
    <w:basedOn w:val="Vanligtabell"/>
    <w:uiPriority w:val="99"/>
    <w:rsid w:val="00532142"/>
    <w:pPr>
      <w:spacing w:after="0" w:line="240" w:lineRule="auto"/>
      <w:ind w:left="85" w:right="85"/>
      <w:contextualSpacing/>
    </w:pPr>
    <w:rPr>
      <w:rFonts w:asciiTheme="majorHAnsi" w:hAnsiTheme="majorHAnsi"/>
    </w:rPr>
    <w:tblPr>
      <w:tblBorders>
        <w:bottom w:val="single" w:sz="4" w:space="0" w:color="44546A" w:themeColor="text2"/>
        <w:insideH w:val="single" w:sz="4" w:space="0" w:color="44546A" w:themeColor="text2"/>
      </w:tblBorders>
      <w:tblCellMar>
        <w:top w:w="85" w:type="dxa"/>
        <w:left w:w="0" w:type="dxa"/>
        <w:bottom w:w="85" w:type="dxa"/>
        <w:right w:w="0" w:type="dxa"/>
      </w:tblCellMar>
    </w:tblPr>
    <w:tblStylePr w:type="firstRow">
      <w:rPr>
        <w:b/>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7072">
      <w:bodyDiv w:val="1"/>
      <w:marLeft w:val="0"/>
      <w:marRight w:val="0"/>
      <w:marTop w:val="0"/>
      <w:marBottom w:val="0"/>
      <w:divBdr>
        <w:top w:val="none" w:sz="0" w:space="0" w:color="auto"/>
        <w:left w:val="none" w:sz="0" w:space="0" w:color="auto"/>
        <w:bottom w:val="none" w:sz="0" w:space="0" w:color="auto"/>
        <w:right w:val="none" w:sz="0" w:space="0" w:color="auto"/>
      </w:divBdr>
    </w:div>
    <w:div w:id="1628242487">
      <w:bodyDiv w:val="1"/>
      <w:marLeft w:val="0"/>
      <w:marRight w:val="0"/>
      <w:marTop w:val="0"/>
      <w:marBottom w:val="0"/>
      <w:divBdr>
        <w:top w:val="none" w:sz="0" w:space="0" w:color="auto"/>
        <w:left w:val="none" w:sz="0" w:space="0" w:color="auto"/>
        <w:bottom w:val="none" w:sz="0" w:space="0" w:color="auto"/>
        <w:right w:val="none" w:sz="0" w:space="0" w:color="auto"/>
      </w:divBdr>
    </w:div>
    <w:div w:id="16604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m.stat.no/publikasjoner/regelverk/veilednin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10A4319CB40EAA52B0739332D1E97"/>
        <w:category>
          <w:name w:val="Generelt"/>
          <w:gallery w:val="placeholder"/>
        </w:category>
        <w:types>
          <w:type w:val="bbPlcHdr"/>
        </w:types>
        <w:behaviors>
          <w:behavior w:val="content"/>
        </w:behaviors>
        <w:guid w:val="{0A6673FF-3D7A-4DC6-B01C-B1B68D7EAD42}"/>
      </w:docPartPr>
      <w:docPartBody>
        <w:p w:rsidR="00E6231D" w:rsidRDefault="00C11F79" w:rsidP="00C11F79">
          <w:pPr>
            <w:pStyle w:val="53F10A4319CB40EAA52B0739332D1E97"/>
          </w:pPr>
          <w:r w:rsidRPr="00056DCB">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3E"/>
    <w:rsid w:val="00445C3E"/>
    <w:rsid w:val="00912D26"/>
    <w:rsid w:val="00994776"/>
    <w:rsid w:val="00C11F79"/>
    <w:rsid w:val="00E623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11F79"/>
    <w:rPr>
      <w:color w:val="808080"/>
    </w:rPr>
  </w:style>
  <w:style w:type="paragraph" w:customStyle="1" w:styleId="C609860A323146A3AC50F9355C2B2B02">
    <w:name w:val="C609860A323146A3AC50F9355C2B2B02"/>
    <w:rsid w:val="00445C3E"/>
  </w:style>
  <w:style w:type="paragraph" w:customStyle="1" w:styleId="8AAAB9AD6A424D068CE8DB979456F749">
    <w:name w:val="8AAAB9AD6A424D068CE8DB979456F749"/>
    <w:rsid w:val="00912D26"/>
  </w:style>
  <w:style w:type="paragraph" w:customStyle="1" w:styleId="27C40FEBB38B4C5EBD5C5A18EC54E8AB">
    <w:name w:val="27C40FEBB38B4C5EBD5C5A18EC54E8AB"/>
    <w:rsid w:val="00912D26"/>
  </w:style>
  <w:style w:type="paragraph" w:customStyle="1" w:styleId="B05A1C49CA0541889A16D961BA91C4C7">
    <w:name w:val="B05A1C49CA0541889A16D961BA91C4C7"/>
    <w:rsid w:val="00912D26"/>
  </w:style>
  <w:style w:type="paragraph" w:customStyle="1" w:styleId="E4CB2C7012E34484A061E15A3F19F48D">
    <w:name w:val="E4CB2C7012E34484A061E15A3F19F48D"/>
    <w:rsid w:val="00912D26"/>
  </w:style>
  <w:style w:type="paragraph" w:customStyle="1" w:styleId="23BB95C2AAE946FDB8B2F90B28E07F74">
    <w:name w:val="23BB95C2AAE946FDB8B2F90B28E07F74"/>
    <w:rsid w:val="00912D26"/>
  </w:style>
  <w:style w:type="paragraph" w:customStyle="1" w:styleId="26C310AEDDF44D51A4CAAC0EAC6E5D0F">
    <w:name w:val="26C310AEDDF44D51A4CAAC0EAC6E5D0F"/>
    <w:rsid w:val="00912D26"/>
  </w:style>
  <w:style w:type="paragraph" w:customStyle="1" w:styleId="53F10A4319CB40EAA52B0739332D1E97">
    <w:name w:val="53F10A4319CB40EAA52B0739332D1E97"/>
    <w:rsid w:val="00C11F79"/>
  </w:style>
  <w:style w:type="paragraph" w:customStyle="1" w:styleId="FE6F6AF61E75423E81B26BA7E4D79975">
    <w:name w:val="FE6F6AF61E75423E81B26BA7E4D79975"/>
    <w:rsid w:val="00C11F79"/>
  </w:style>
  <w:style w:type="paragraph" w:customStyle="1" w:styleId="A24810AE8F53431D82869DF74494897C">
    <w:name w:val="A24810AE8F53431D82869DF74494897C"/>
    <w:rsid w:val="00C11F79"/>
  </w:style>
  <w:style w:type="paragraph" w:customStyle="1" w:styleId="C527C750B5D0473EB63C4F1ECC38E444">
    <w:name w:val="C527C750B5D0473EB63C4F1ECC38E444"/>
    <w:rsid w:val="00C11F79"/>
  </w:style>
  <w:style w:type="paragraph" w:customStyle="1" w:styleId="9A4478D46C0845A9BED13F3AA86FFF7F">
    <w:name w:val="9A4478D46C0845A9BED13F3AA86FFF7F"/>
    <w:rsid w:val="00C11F79"/>
  </w:style>
  <w:style w:type="paragraph" w:customStyle="1" w:styleId="256B4E6AB019488685E4362B64FEB809">
    <w:name w:val="256B4E6AB019488685E4362B64FEB809"/>
    <w:rsid w:val="00C11F79"/>
  </w:style>
  <w:style w:type="paragraph" w:customStyle="1" w:styleId="E6658B788876400F8CA11155D2E85A63">
    <w:name w:val="E6658B788876400F8CA11155D2E85A63"/>
    <w:rsid w:val="00C11F79"/>
  </w:style>
  <w:style w:type="paragraph" w:customStyle="1" w:styleId="23DB972DF3174D58B32D81247198BEE6">
    <w:name w:val="23DB972DF3174D58B32D81247198BEE6"/>
    <w:rsid w:val="00C11F79"/>
  </w:style>
  <w:style w:type="paragraph" w:customStyle="1" w:styleId="7A4F1A3EEAC14E7686C76FB7DA244B64">
    <w:name w:val="7A4F1A3EEAC14E7686C76FB7DA244B64"/>
    <w:rsid w:val="00E6231D"/>
  </w:style>
  <w:style w:type="paragraph" w:customStyle="1" w:styleId="DB5255FC9F77400DA858E68E3B4C055C">
    <w:name w:val="DB5255FC9F77400DA858E68E3B4C055C"/>
    <w:rsid w:val="00E6231D"/>
  </w:style>
  <w:style w:type="paragraph" w:customStyle="1" w:styleId="772172B844BE4ECE839B89CD90D9784E">
    <w:name w:val="772172B844BE4ECE839B89CD90D9784E"/>
    <w:rsid w:val="00E62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C4D4-36C5-47F2-9668-8FBDE6E6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4921</Words>
  <Characters>26083</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
    </vt:vector>
  </TitlesOfParts>
  <Company>Forsvarsbygg</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Ingeberg, Martine Cecilie Ildstad</dc:creator>
  <cp:keywords/>
  <dc:description/>
  <cp:lastModifiedBy>Ryvoll, Bjarne</cp:lastModifiedBy>
  <cp:revision>3</cp:revision>
  <dcterms:created xsi:type="dcterms:W3CDTF">2021-03-15T11:32:00Z</dcterms:created>
  <dcterms:modified xsi:type="dcterms:W3CDTF">2021-03-15T11:33:00Z</dcterms:modified>
</cp:coreProperties>
</file>