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45D7" w14:textId="77777777" w:rsidR="002E091D" w:rsidRDefault="002E091D" w:rsidP="00BC65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nb-NO"/>
        </w:rPr>
      </w:pPr>
    </w:p>
    <w:p w14:paraId="7243C277" w14:textId="77777777" w:rsidR="002E091D" w:rsidRDefault="002E091D" w:rsidP="00BC65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nb-NO"/>
        </w:rPr>
      </w:pPr>
    </w:p>
    <w:p w14:paraId="02793CCD" w14:textId="77777777" w:rsidR="002E091D" w:rsidRDefault="002E091D" w:rsidP="00BC65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nb-NO"/>
        </w:rPr>
      </w:pPr>
    </w:p>
    <w:p w14:paraId="60C7A8AE" w14:textId="6398A4A6" w:rsidR="00BC65FD" w:rsidRPr="00BC65FD" w:rsidRDefault="00BC65FD" w:rsidP="00BC65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3083A95A" w14:textId="223A8B5C" w:rsidR="002E091D" w:rsidRDefault="0012422B" w:rsidP="0012422B">
      <w:pPr>
        <w:jc w:val="center"/>
      </w:pPr>
      <w:r>
        <w:rPr>
          <w:noProof/>
        </w:rPr>
        <w:drawing>
          <wp:inline distT="0" distB="0" distL="0" distR="0" wp14:anchorId="3B01009E" wp14:editId="1C45D696">
            <wp:extent cx="2600325" cy="3543300"/>
            <wp:effectExtent l="0" t="0" r="9525" b="0"/>
            <wp:docPr id="5" name="Bil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767B" w14:textId="53215E29" w:rsidR="00812E58" w:rsidRPr="003740BA" w:rsidRDefault="00812E58" w:rsidP="00812E58">
      <w:pPr>
        <w:spacing w:after="0" w:line="240" w:lineRule="auto"/>
        <w:rPr>
          <w:rStyle w:val="normaltextrun"/>
          <w:rFonts w:eastAsia="Times New Roman"/>
          <w:b/>
          <w:bCs/>
          <w:sz w:val="36"/>
          <w:szCs w:val="36"/>
          <w:lang w:eastAsia="nb-NO"/>
        </w:rPr>
      </w:pPr>
      <w:r w:rsidRPr="003740BA">
        <w:rPr>
          <w:rStyle w:val="normaltextrun"/>
          <w:rFonts w:ascii="Arial" w:eastAsia="Times New Roman" w:hAnsi="Arial" w:cs="Arial"/>
          <w:b/>
          <w:bCs/>
          <w:sz w:val="36"/>
          <w:szCs w:val="36"/>
          <w:lang w:eastAsia="nb-NO"/>
        </w:rPr>
        <w:t xml:space="preserve">Avtale om </w:t>
      </w:r>
      <w:r>
        <w:rPr>
          <w:rStyle w:val="normaltextrun"/>
          <w:rFonts w:ascii="Arial" w:eastAsia="Times New Roman" w:hAnsi="Arial" w:cs="Arial"/>
          <w:b/>
          <w:bCs/>
          <w:sz w:val="36"/>
          <w:szCs w:val="36"/>
          <w:lang w:eastAsia="nb-NO"/>
        </w:rPr>
        <w:t xml:space="preserve">levering av </w:t>
      </w:r>
      <w:r w:rsidRPr="003740BA">
        <w:rPr>
          <w:rStyle w:val="normaltextrun"/>
          <w:rFonts w:ascii="Arial" w:eastAsia="Times New Roman" w:hAnsi="Arial" w:cs="Arial"/>
          <w:b/>
          <w:bCs/>
          <w:sz w:val="36"/>
          <w:szCs w:val="36"/>
          <w:lang w:eastAsia="nb-NO"/>
        </w:rPr>
        <w:t>Facility Management system til Bergen kommune.</w:t>
      </w:r>
    </w:p>
    <w:p w14:paraId="31CB0A5A" w14:textId="77777777" w:rsidR="00812E58" w:rsidRDefault="00812E58" w:rsidP="00812E58">
      <w:pPr>
        <w:spacing w:after="0" w:line="240" w:lineRule="auto"/>
        <w:jc w:val="center"/>
        <w:rPr>
          <w:rStyle w:val="eop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5558E4FA" w14:textId="2F7D0313" w:rsidR="00812E58" w:rsidRDefault="00812E58" w:rsidP="00812E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36"/>
          <w:szCs w:val="36"/>
        </w:rPr>
        <w:t xml:space="preserve">BILAG 3 Plan for </w:t>
      </w:r>
      <w:r w:rsidR="00E677F2">
        <w:rPr>
          <w:rStyle w:val="normaltextrun"/>
          <w:rFonts w:ascii="Arial" w:eastAsiaTheme="majorEastAsia" w:hAnsi="Arial" w:cs="Arial"/>
          <w:b/>
          <w:bCs/>
          <w:sz w:val="36"/>
          <w:szCs w:val="36"/>
        </w:rPr>
        <w:t>E</w:t>
      </w:r>
      <w:r>
        <w:rPr>
          <w:rStyle w:val="normaltextrun"/>
          <w:rFonts w:ascii="Arial" w:eastAsiaTheme="majorEastAsia" w:hAnsi="Arial" w:cs="Arial"/>
          <w:b/>
          <w:bCs/>
          <w:sz w:val="36"/>
          <w:szCs w:val="36"/>
        </w:rPr>
        <w:t>tableringsfasen.</w:t>
      </w:r>
    </w:p>
    <w:p w14:paraId="4E553332" w14:textId="3DAE47AF" w:rsidR="00812E58" w:rsidRDefault="00812E58" w:rsidP="00812E58">
      <w:pPr>
        <w:pStyle w:val="paragraph"/>
        <w:pBdr>
          <w:top w:val="single" w:sz="4" w:space="1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Basert på statens standardavtale om løpende tjenestekjøp over internett, SSA-L, versjon 2018.</w:t>
      </w:r>
    </w:p>
    <w:p w14:paraId="3D4DE2F2" w14:textId="4182D3FF" w:rsidR="002E091D" w:rsidRDefault="002E091D" w:rsidP="002E091D"/>
    <w:p w14:paraId="530BB899" w14:textId="3FC5D406" w:rsidR="002E091D" w:rsidRDefault="002E091D" w:rsidP="002E091D"/>
    <w:p w14:paraId="2363CDE9" w14:textId="77BC5276" w:rsidR="002E091D" w:rsidRDefault="002E091D" w:rsidP="002E091D"/>
    <w:p w14:paraId="0EB4667E" w14:textId="7C78608E" w:rsidR="002E091D" w:rsidRDefault="002E091D" w:rsidP="002E091D"/>
    <w:p w14:paraId="311D1129" w14:textId="60929F33" w:rsidR="002E091D" w:rsidRDefault="002E091D" w:rsidP="002E091D"/>
    <w:p w14:paraId="73F24F73" w14:textId="1184984D" w:rsidR="002E091D" w:rsidRDefault="002E091D" w:rsidP="002E091D"/>
    <w:p w14:paraId="26D37B98" w14:textId="0C4B0F7A" w:rsidR="002E091D" w:rsidRDefault="002E091D" w:rsidP="002E091D"/>
    <w:p w14:paraId="369D72D8" w14:textId="7A0CB088" w:rsidR="002E091D" w:rsidRDefault="002E091D" w:rsidP="002E091D"/>
    <w:p w14:paraId="53DD452B" w14:textId="3FA01BE1" w:rsidR="002E091D" w:rsidRDefault="002E091D" w:rsidP="002E091D"/>
    <w:p w14:paraId="7C5A5C01" w14:textId="084CAB23" w:rsidR="002E091D" w:rsidRDefault="002E091D" w:rsidP="002E091D"/>
    <w:p w14:paraId="4AB2B3F3" w14:textId="30AD9D18" w:rsidR="002E091D" w:rsidRDefault="002E091D" w:rsidP="002E091D"/>
    <w:p w14:paraId="7E0E8542" w14:textId="7B4EC1BF" w:rsidR="002E091D" w:rsidRDefault="002E091D"/>
    <w:bookmarkStart w:id="0" w:name="_Toc7052520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3615206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A686A43" w14:textId="5149D229" w:rsidR="007A5B71" w:rsidRDefault="001A15B3" w:rsidP="00883DDB">
          <w:pPr>
            <w:pStyle w:val="Overskrift1"/>
            <w:numPr>
              <w:ilvl w:val="0"/>
              <w:numId w:val="0"/>
            </w:numPr>
          </w:pPr>
          <w:r>
            <w:t>Innhold</w:t>
          </w:r>
          <w:bookmarkEnd w:id="0"/>
        </w:p>
        <w:p w14:paraId="58513475" w14:textId="676EFC22" w:rsidR="00605842" w:rsidRDefault="007A5B7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525200" w:history="1">
            <w:r w:rsidR="00605842" w:rsidRPr="006E6BAC">
              <w:rPr>
                <w:rStyle w:val="Hyperkobling"/>
                <w:noProof/>
              </w:rPr>
              <w:t>Innhold</w:t>
            </w:r>
            <w:r w:rsidR="00605842">
              <w:rPr>
                <w:noProof/>
                <w:webHidden/>
              </w:rPr>
              <w:tab/>
            </w:r>
            <w:r w:rsidR="00605842">
              <w:rPr>
                <w:noProof/>
                <w:webHidden/>
              </w:rPr>
              <w:fldChar w:fldCharType="begin"/>
            </w:r>
            <w:r w:rsidR="00605842">
              <w:rPr>
                <w:noProof/>
                <w:webHidden/>
              </w:rPr>
              <w:instrText xml:space="preserve"> PAGEREF _Toc70525200 \h </w:instrText>
            </w:r>
            <w:r w:rsidR="00605842">
              <w:rPr>
                <w:noProof/>
                <w:webHidden/>
              </w:rPr>
            </w:r>
            <w:r w:rsidR="00605842">
              <w:rPr>
                <w:noProof/>
                <w:webHidden/>
              </w:rPr>
              <w:fldChar w:fldCharType="separate"/>
            </w:r>
            <w:r w:rsidR="00072376">
              <w:rPr>
                <w:noProof/>
                <w:webHidden/>
              </w:rPr>
              <w:t>2</w:t>
            </w:r>
            <w:r w:rsidR="00605842">
              <w:rPr>
                <w:noProof/>
                <w:webHidden/>
              </w:rPr>
              <w:fldChar w:fldCharType="end"/>
            </w:r>
          </w:hyperlink>
        </w:p>
        <w:p w14:paraId="3E563FAD" w14:textId="7DEE4758" w:rsidR="00605842" w:rsidRDefault="00A671E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70525201" w:history="1">
            <w:r w:rsidR="00605842" w:rsidRPr="006E6BAC">
              <w:rPr>
                <w:rStyle w:val="Hyperkobling"/>
                <w:noProof/>
              </w:rPr>
              <w:t>1</w:t>
            </w:r>
            <w:r w:rsidR="00605842">
              <w:rPr>
                <w:rFonts w:eastAsiaTheme="minorEastAsia"/>
                <w:noProof/>
                <w:lang w:eastAsia="nb-NO"/>
              </w:rPr>
              <w:tab/>
            </w:r>
            <w:r w:rsidR="00605842" w:rsidRPr="006E6BAC">
              <w:rPr>
                <w:rStyle w:val="Hyperkobling"/>
                <w:noProof/>
              </w:rPr>
              <w:t>Introduksjon</w:t>
            </w:r>
            <w:r w:rsidR="00605842">
              <w:rPr>
                <w:noProof/>
                <w:webHidden/>
              </w:rPr>
              <w:tab/>
            </w:r>
            <w:r w:rsidR="00605842">
              <w:rPr>
                <w:noProof/>
                <w:webHidden/>
              </w:rPr>
              <w:fldChar w:fldCharType="begin"/>
            </w:r>
            <w:r w:rsidR="00605842">
              <w:rPr>
                <w:noProof/>
                <w:webHidden/>
              </w:rPr>
              <w:instrText xml:space="preserve"> PAGEREF _Toc70525201 \h </w:instrText>
            </w:r>
            <w:r w:rsidR="00605842">
              <w:rPr>
                <w:noProof/>
                <w:webHidden/>
              </w:rPr>
            </w:r>
            <w:r w:rsidR="00605842">
              <w:rPr>
                <w:noProof/>
                <w:webHidden/>
              </w:rPr>
              <w:fldChar w:fldCharType="separate"/>
            </w:r>
            <w:r w:rsidR="00072376">
              <w:rPr>
                <w:noProof/>
                <w:webHidden/>
              </w:rPr>
              <w:t>3</w:t>
            </w:r>
            <w:r w:rsidR="00605842">
              <w:rPr>
                <w:noProof/>
                <w:webHidden/>
              </w:rPr>
              <w:fldChar w:fldCharType="end"/>
            </w:r>
          </w:hyperlink>
        </w:p>
        <w:p w14:paraId="0DD59B27" w14:textId="754A7E61" w:rsidR="00605842" w:rsidRDefault="00A671E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70525202" w:history="1">
            <w:r w:rsidR="00605842" w:rsidRPr="006E6BAC">
              <w:rPr>
                <w:rStyle w:val="Hyperkobling"/>
                <w:noProof/>
              </w:rPr>
              <w:t>2</w:t>
            </w:r>
            <w:r w:rsidR="00605842">
              <w:rPr>
                <w:rFonts w:eastAsiaTheme="minorEastAsia"/>
                <w:noProof/>
                <w:lang w:eastAsia="nb-NO"/>
              </w:rPr>
              <w:tab/>
            </w:r>
            <w:r w:rsidR="00605842" w:rsidRPr="006E6BAC">
              <w:rPr>
                <w:rStyle w:val="Hyperkobling"/>
                <w:noProof/>
              </w:rPr>
              <w:t>Overordnet framdriftsplan</w:t>
            </w:r>
            <w:r w:rsidR="00605842">
              <w:rPr>
                <w:noProof/>
                <w:webHidden/>
              </w:rPr>
              <w:tab/>
            </w:r>
            <w:r w:rsidR="00605842">
              <w:rPr>
                <w:noProof/>
                <w:webHidden/>
              </w:rPr>
              <w:fldChar w:fldCharType="begin"/>
            </w:r>
            <w:r w:rsidR="00605842">
              <w:rPr>
                <w:noProof/>
                <w:webHidden/>
              </w:rPr>
              <w:instrText xml:space="preserve"> PAGEREF _Toc70525202 \h </w:instrText>
            </w:r>
            <w:r w:rsidR="00605842">
              <w:rPr>
                <w:noProof/>
                <w:webHidden/>
              </w:rPr>
            </w:r>
            <w:r w:rsidR="00605842">
              <w:rPr>
                <w:noProof/>
                <w:webHidden/>
              </w:rPr>
              <w:fldChar w:fldCharType="separate"/>
            </w:r>
            <w:r w:rsidR="00072376">
              <w:rPr>
                <w:noProof/>
                <w:webHidden/>
              </w:rPr>
              <w:t>3</w:t>
            </w:r>
            <w:r w:rsidR="00605842">
              <w:rPr>
                <w:noProof/>
                <w:webHidden/>
              </w:rPr>
              <w:fldChar w:fldCharType="end"/>
            </w:r>
          </w:hyperlink>
        </w:p>
        <w:p w14:paraId="56ADEFB3" w14:textId="0CC3CC2D" w:rsidR="00605842" w:rsidRDefault="00A671ED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70525203" w:history="1">
            <w:r w:rsidR="00605842" w:rsidRPr="006E6BAC">
              <w:rPr>
                <w:rStyle w:val="Hyperkobling"/>
                <w:noProof/>
              </w:rPr>
              <w:t>2.1 Etableringsfase</w:t>
            </w:r>
            <w:r w:rsidR="00605842">
              <w:rPr>
                <w:noProof/>
                <w:webHidden/>
              </w:rPr>
              <w:tab/>
            </w:r>
            <w:r w:rsidR="00605842">
              <w:rPr>
                <w:noProof/>
                <w:webHidden/>
              </w:rPr>
              <w:fldChar w:fldCharType="begin"/>
            </w:r>
            <w:r w:rsidR="00605842">
              <w:rPr>
                <w:noProof/>
                <w:webHidden/>
              </w:rPr>
              <w:instrText xml:space="preserve"> PAGEREF _Toc70525203 \h </w:instrText>
            </w:r>
            <w:r w:rsidR="00605842">
              <w:rPr>
                <w:noProof/>
                <w:webHidden/>
              </w:rPr>
            </w:r>
            <w:r w:rsidR="00605842">
              <w:rPr>
                <w:noProof/>
                <w:webHidden/>
              </w:rPr>
              <w:fldChar w:fldCharType="separate"/>
            </w:r>
            <w:r w:rsidR="00072376">
              <w:rPr>
                <w:noProof/>
                <w:webHidden/>
              </w:rPr>
              <w:t>3</w:t>
            </w:r>
            <w:r w:rsidR="00605842">
              <w:rPr>
                <w:noProof/>
                <w:webHidden/>
              </w:rPr>
              <w:fldChar w:fldCharType="end"/>
            </w:r>
          </w:hyperlink>
        </w:p>
        <w:p w14:paraId="69D17945" w14:textId="2475CF1C" w:rsidR="00605842" w:rsidRDefault="00A671ED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70525204" w:history="1">
            <w:r w:rsidR="00605842" w:rsidRPr="006E6BAC">
              <w:rPr>
                <w:rStyle w:val="Hyperkobling"/>
                <w:noProof/>
              </w:rPr>
              <w:t>2.2 Godkjenningsperiode</w:t>
            </w:r>
            <w:r w:rsidR="00605842">
              <w:rPr>
                <w:noProof/>
                <w:webHidden/>
              </w:rPr>
              <w:tab/>
            </w:r>
            <w:r w:rsidR="00605842">
              <w:rPr>
                <w:noProof/>
                <w:webHidden/>
              </w:rPr>
              <w:fldChar w:fldCharType="begin"/>
            </w:r>
            <w:r w:rsidR="00605842">
              <w:rPr>
                <w:noProof/>
                <w:webHidden/>
              </w:rPr>
              <w:instrText xml:space="preserve"> PAGEREF _Toc70525204 \h </w:instrText>
            </w:r>
            <w:r w:rsidR="00605842">
              <w:rPr>
                <w:noProof/>
                <w:webHidden/>
              </w:rPr>
            </w:r>
            <w:r w:rsidR="00605842">
              <w:rPr>
                <w:noProof/>
                <w:webHidden/>
              </w:rPr>
              <w:fldChar w:fldCharType="separate"/>
            </w:r>
            <w:r w:rsidR="00072376">
              <w:rPr>
                <w:noProof/>
                <w:webHidden/>
              </w:rPr>
              <w:t>4</w:t>
            </w:r>
            <w:r w:rsidR="00605842">
              <w:rPr>
                <w:noProof/>
                <w:webHidden/>
              </w:rPr>
              <w:fldChar w:fldCharType="end"/>
            </w:r>
          </w:hyperlink>
        </w:p>
        <w:p w14:paraId="242644B4" w14:textId="3265FAFC" w:rsidR="00605842" w:rsidRDefault="00A671ED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70525205" w:history="1">
            <w:r w:rsidR="00605842" w:rsidRPr="006E6BAC">
              <w:rPr>
                <w:rStyle w:val="Hyperkobling"/>
                <w:noProof/>
              </w:rPr>
              <w:t>2.3 Leverandørens tentative plan for Etableringsfasen</w:t>
            </w:r>
            <w:r w:rsidR="00605842">
              <w:rPr>
                <w:noProof/>
                <w:webHidden/>
              </w:rPr>
              <w:tab/>
            </w:r>
            <w:r w:rsidR="00605842">
              <w:rPr>
                <w:noProof/>
                <w:webHidden/>
              </w:rPr>
              <w:fldChar w:fldCharType="begin"/>
            </w:r>
            <w:r w:rsidR="00605842">
              <w:rPr>
                <w:noProof/>
                <w:webHidden/>
              </w:rPr>
              <w:instrText xml:space="preserve"> PAGEREF _Toc70525205 \h </w:instrText>
            </w:r>
            <w:r w:rsidR="00605842">
              <w:rPr>
                <w:noProof/>
                <w:webHidden/>
              </w:rPr>
            </w:r>
            <w:r w:rsidR="00605842">
              <w:rPr>
                <w:noProof/>
                <w:webHidden/>
              </w:rPr>
              <w:fldChar w:fldCharType="separate"/>
            </w:r>
            <w:r w:rsidR="00072376">
              <w:rPr>
                <w:noProof/>
                <w:webHidden/>
              </w:rPr>
              <w:t>5</w:t>
            </w:r>
            <w:r w:rsidR="00605842">
              <w:rPr>
                <w:noProof/>
                <w:webHidden/>
              </w:rPr>
              <w:fldChar w:fldCharType="end"/>
            </w:r>
          </w:hyperlink>
        </w:p>
        <w:p w14:paraId="6B2671CC" w14:textId="129EDC29" w:rsidR="00605842" w:rsidRDefault="00A671E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70525206" w:history="1">
            <w:r w:rsidR="00605842" w:rsidRPr="006E6BAC">
              <w:rPr>
                <w:rStyle w:val="Hyperkobling"/>
                <w:noProof/>
              </w:rPr>
              <w:t>3</w:t>
            </w:r>
            <w:r w:rsidR="00605842">
              <w:rPr>
                <w:rFonts w:eastAsiaTheme="minorEastAsia"/>
                <w:noProof/>
                <w:lang w:eastAsia="nb-NO"/>
              </w:rPr>
              <w:tab/>
            </w:r>
            <w:r w:rsidR="00605842" w:rsidRPr="006E6BAC">
              <w:rPr>
                <w:rStyle w:val="Hyperkobling"/>
                <w:noProof/>
              </w:rPr>
              <w:t>Avtalens punkt 9.2.3 Dagbot ved forsinkelse</w:t>
            </w:r>
            <w:r w:rsidR="00605842">
              <w:rPr>
                <w:noProof/>
                <w:webHidden/>
              </w:rPr>
              <w:tab/>
            </w:r>
            <w:r w:rsidR="00605842">
              <w:rPr>
                <w:noProof/>
                <w:webHidden/>
              </w:rPr>
              <w:fldChar w:fldCharType="begin"/>
            </w:r>
            <w:r w:rsidR="00605842">
              <w:rPr>
                <w:noProof/>
                <w:webHidden/>
              </w:rPr>
              <w:instrText xml:space="preserve"> PAGEREF _Toc70525206 \h </w:instrText>
            </w:r>
            <w:r w:rsidR="00605842">
              <w:rPr>
                <w:noProof/>
                <w:webHidden/>
              </w:rPr>
            </w:r>
            <w:r w:rsidR="00605842">
              <w:rPr>
                <w:noProof/>
                <w:webHidden/>
              </w:rPr>
              <w:fldChar w:fldCharType="separate"/>
            </w:r>
            <w:r w:rsidR="00072376">
              <w:rPr>
                <w:noProof/>
                <w:webHidden/>
              </w:rPr>
              <w:t>6</w:t>
            </w:r>
            <w:r w:rsidR="00605842">
              <w:rPr>
                <w:noProof/>
                <w:webHidden/>
              </w:rPr>
              <w:fldChar w:fldCharType="end"/>
            </w:r>
          </w:hyperlink>
        </w:p>
        <w:p w14:paraId="52C14F7A" w14:textId="3CE89918" w:rsidR="007A5B71" w:rsidRDefault="007A5B71">
          <w:r>
            <w:rPr>
              <w:b/>
              <w:bCs/>
              <w:noProof/>
            </w:rPr>
            <w:fldChar w:fldCharType="end"/>
          </w:r>
        </w:p>
      </w:sdtContent>
    </w:sdt>
    <w:p w14:paraId="2B5E3836" w14:textId="011EA647" w:rsidR="002E091D" w:rsidRPr="002E091D" w:rsidRDefault="00B73ED6" w:rsidP="002E091D">
      <w:r>
        <w:br w:type="page"/>
      </w:r>
    </w:p>
    <w:p w14:paraId="1A25A71B" w14:textId="6702D404" w:rsidR="00BC65FD" w:rsidRPr="00C05CD8" w:rsidRDefault="00A743EC" w:rsidP="004505BC">
      <w:pPr>
        <w:pStyle w:val="Overskrift1"/>
      </w:pPr>
      <w:bookmarkStart w:id="1" w:name="_Toc57103202"/>
      <w:bookmarkStart w:id="2" w:name="_Toc70525201"/>
      <w:bookmarkStart w:id="3" w:name="_Toc32315664"/>
      <w:r w:rsidRPr="00C05CD8">
        <w:lastRenderedPageBreak/>
        <w:t>Introduksjon</w:t>
      </w:r>
      <w:bookmarkEnd w:id="1"/>
      <w:bookmarkEnd w:id="2"/>
    </w:p>
    <w:p w14:paraId="39691DAD" w14:textId="5FC755AD" w:rsidR="00A743EC" w:rsidRDefault="00A743EC" w:rsidP="00BC65FD">
      <w:r>
        <w:t>Dette bilaget beskrive</w:t>
      </w:r>
      <w:r w:rsidR="00DB4F54">
        <w:t>r</w:t>
      </w:r>
      <w:r w:rsidR="00FCF582">
        <w:t xml:space="preserve"> </w:t>
      </w:r>
      <w:r>
        <w:t xml:space="preserve">føringer </w:t>
      </w:r>
      <w:r w:rsidR="00A53D13">
        <w:t xml:space="preserve">og bestemmelser </w:t>
      </w:r>
      <w:r>
        <w:t xml:space="preserve">for prosjekt- og fremdriftsplan for </w:t>
      </w:r>
      <w:r w:rsidR="004E677A">
        <w:t>etablering av tjenesten</w:t>
      </w:r>
      <w:r>
        <w:t xml:space="preserve">, samt sentrale </w:t>
      </w:r>
      <w:r w:rsidR="3BC1E19A">
        <w:t>aktiviteter</w:t>
      </w:r>
      <w:r>
        <w:t xml:space="preserve"> og tidsfrister.</w:t>
      </w:r>
      <w:bookmarkEnd w:id="3"/>
      <w:r w:rsidR="008E530F">
        <w:t xml:space="preserve"> </w:t>
      </w:r>
      <w:r w:rsidR="00A43308">
        <w:t xml:space="preserve">Endelig </w:t>
      </w:r>
      <w:r w:rsidR="008E0E1A">
        <w:t xml:space="preserve">plan for etablering </w:t>
      </w:r>
      <w:r w:rsidR="00A43308">
        <w:t xml:space="preserve">av tjenesten </w:t>
      </w:r>
      <w:r w:rsidR="008E0E1A">
        <w:t>vil fastsettes</w:t>
      </w:r>
      <w:r w:rsidR="008E0E1A" w:rsidDel="00A43308">
        <w:t xml:space="preserve"> </w:t>
      </w:r>
      <w:r w:rsidR="00A43308">
        <w:t>i forberedelsesfasen</w:t>
      </w:r>
      <w:r w:rsidR="008E0E1A">
        <w:t xml:space="preserve">. </w:t>
      </w:r>
      <w:r w:rsidR="002965BE">
        <w:t>Fremdrift og rollefordeling for k</w:t>
      </w:r>
      <w:r w:rsidR="00FE7690">
        <w:t xml:space="preserve">onfigurering, tilpasning og integrasjoner </w:t>
      </w:r>
      <w:r w:rsidR="002965BE">
        <w:t xml:space="preserve">skal også </w:t>
      </w:r>
      <w:r w:rsidR="06087E6A">
        <w:t xml:space="preserve">være en del av dette bilaget. </w:t>
      </w:r>
    </w:p>
    <w:p w14:paraId="25D8F347" w14:textId="4107B635" w:rsidR="67320064" w:rsidRPr="00FC61E0" w:rsidRDefault="67320064" w:rsidP="7586FA3F">
      <w:r w:rsidRPr="00FC61E0">
        <w:t xml:space="preserve">Bilaget omfatter Etablering for tjenesten i Etat for bygg og eiendom. </w:t>
      </w:r>
      <w:r w:rsidR="4961C358" w:rsidRPr="00FC61E0">
        <w:t>Eventuell v</w:t>
      </w:r>
      <w:r w:rsidRPr="00FC61E0">
        <w:t xml:space="preserve">idere implementering i </w:t>
      </w:r>
      <w:r w:rsidR="00623ED4" w:rsidRPr="00FC61E0">
        <w:t xml:space="preserve">Bergen kommune </w:t>
      </w:r>
      <w:r w:rsidR="00072376" w:rsidRPr="00FC61E0">
        <w:t>for øvrig</w:t>
      </w:r>
      <w:r w:rsidR="00FC61E0" w:rsidRPr="00FC61E0">
        <w:t xml:space="preserve"> </w:t>
      </w:r>
      <w:r w:rsidR="10B4ABE1" w:rsidRPr="00FC61E0">
        <w:t xml:space="preserve">vil skje etter Leveringsdag hos EBE og </w:t>
      </w:r>
      <w:r w:rsidRPr="00FC61E0">
        <w:t xml:space="preserve">vil avtales nærmere </w:t>
      </w:r>
      <w:r w:rsidR="27A8CC2F" w:rsidRPr="00FC61E0">
        <w:t>dersom</w:t>
      </w:r>
      <w:r w:rsidRPr="00FC61E0">
        <w:t xml:space="preserve"> det er behov for bistand fra leverandør.</w:t>
      </w:r>
      <w:r w:rsidR="0113FFC7" w:rsidRPr="00FC61E0">
        <w:t xml:space="preserve"> </w:t>
      </w:r>
      <w:r w:rsidRPr="00FC61E0">
        <w:t xml:space="preserve"> </w:t>
      </w:r>
    </w:p>
    <w:p w14:paraId="0C4478BA" w14:textId="18463018" w:rsidR="00D626DF" w:rsidRDefault="00B34E29" w:rsidP="00B63A3B">
      <w:pPr>
        <w:pStyle w:val="Overskrift1"/>
      </w:pPr>
      <w:bookmarkStart w:id="4" w:name="_Toc70525202"/>
      <w:r>
        <w:t>Overordne</w:t>
      </w:r>
      <w:r w:rsidR="001C3031">
        <w:t>t framdriftsplan</w:t>
      </w:r>
      <w:bookmarkEnd w:id="4"/>
    </w:p>
    <w:p w14:paraId="5936F8B0" w14:textId="6A4B48DB" w:rsidR="001C3031" w:rsidRDefault="00C076CE" w:rsidP="00BC65FD">
      <w:r>
        <w:t xml:space="preserve">Jf. Avtalens punkt 3.1 Plan for </w:t>
      </w:r>
      <w:r w:rsidR="00CB0F0F">
        <w:t>Etableringsfasen</w:t>
      </w:r>
    </w:p>
    <w:p w14:paraId="273A4BF6" w14:textId="7671F444" w:rsidR="00701111" w:rsidRPr="005F51D1" w:rsidRDefault="00EE092E" w:rsidP="49A72CEE">
      <w:r>
        <w:t>Etabler</w:t>
      </w:r>
      <w:r w:rsidR="00E11C81">
        <w:t xml:space="preserve">ing av tjenesten deles inn i </w:t>
      </w:r>
      <w:r w:rsidR="007D654C">
        <w:t>følgende</w:t>
      </w:r>
      <w:r w:rsidR="00C656E7">
        <w:t xml:space="preserve"> </w:t>
      </w:r>
      <w:r w:rsidR="00364791">
        <w:t>faser med tilhørende milepæler.</w:t>
      </w:r>
      <w:r w:rsidR="002E19AD">
        <w:t xml:space="preserve"> Disse er angitt i teksten under og illustrert i </w:t>
      </w:r>
      <w:r w:rsidR="00A97214">
        <w:t>Figur 1.</w:t>
      </w:r>
      <w:r>
        <w:br/>
      </w:r>
      <w:r>
        <w:br/>
      </w:r>
      <w:r w:rsidR="1BF30BA6">
        <w:rPr>
          <w:noProof/>
        </w:rPr>
        <w:drawing>
          <wp:inline distT="0" distB="0" distL="0" distR="0" wp14:anchorId="55B17667" wp14:editId="4DF81F45">
            <wp:extent cx="5753098" cy="1809750"/>
            <wp:effectExtent l="0" t="0" r="0" b="0"/>
            <wp:docPr id="682479834" name="Bilde 682479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8247983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27EFE" w14:textId="6EC56E78" w:rsidR="003524F1" w:rsidRDefault="00DF7239" w:rsidP="00F65C9E">
      <w:pPr>
        <w:pStyle w:val="Overskrift2"/>
      </w:pPr>
      <w:bookmarkStart w:id="5" w:name="_Toc70525203"/>
      <w:r w:rsidRPr="00DF7239">
        <w:rPr>
          <w:rStyle w:val="Overskrift2Tegn"/>
        </w:rPr>
        <w:t xml:space="preserve">2.1 </w:t>
      </w:r>
      <w:r w:rsidR="00F87FCE" w:rsidRPr="00DF7239">
        <w:rPr>
          <w:rStyle w:val="Overskrift2Tegn"/>
        </w:rPr>
        <w:t>Etableringsfase</w:t>
      </w:r>
      <w:bookmarkEnd w:id="5"/>
    </w:p>
    <w:p w14:paraId="66DBB0FB" w14:textId="3AB459A5" w:rsidR="003524F1" w:rsidRDefault="00C016A4" w:rsidP="001E3C99">
      <w:r>
        <w:t xml:space="preserve">Etableringsfasen starter når kontrakt mellom partene er signert og vil </w:t>
      </w:r>
      <w:r w:rsidR="00B238E6">
        <w:t xml:space="preserve">dermed </w:t>
      </w:r>
      <w:r>
        <w:t>starte med et oppstartsmøte.</w:t>
      </w:r>
      <w:r w:rsidR="00346DEB">
        <w:t xml:space="preserve"> </w:t>
      </w:r>
      <w:r w:rsidR="00881058">
        <w:t>Begge partene vil stille me</w:t>
      </w:r>
      <w:r w:rsidR="00B238E6">
        <w:t xml:space="preserve">d </w:t>
      </w:r>
      <w:r w:rsidR="00881058">
        <w:t xml:space="preserve">egen prosjektgruppe. </w:t>
      </w:r>
      <w:r w:rsidR="00346DEB">
        <w:t>Det forventes at Leverandør overleverer dokumentasjon knyttet til løsningen</w:t>
      </w:r>
      <w:r w:rsidR="00881058">
        <w:t xml:space="preserve"> etter oppstartsmøtet.</w:t>
      </w:r>
      <w:r w:rsidR="002A5A68">
        <w:t xml:space="preserve"> Dette inkluderer blant annet systemdokumentasjon, brukerdokumentasjon</w:t>
      </w:r>
      <w:r w:rsidR="004B6500">
        <w:t xml:space="preserve"> og integrasjonsdokumentasjon. </w:t>
      </w:r>
      <w:r w:rsidR="005D126B">
        <w:t>Bergen kommune vil stå ansvarlig for samhandlingsrom for informasjonsdeling mellom Kun</w:t>
      </w:r>
      <w:r w:rsidR="76AE2C84">
        <w:t>d</w:t>
      </w:r>
      <w:r w:rsidR="005D126B">
        <w:t>e og Leverandør i prosjektet</w:t>
      </w:r>
      <w:r w:rsidR="001001D5">
        <w:t>, og vil benytte Sharepoint for dette.</w:t>
      </w:r>
    </w:p>
    <w:p w14:paraId="79348C92" w14:textId="694159D9" w:rsidR="004159D8" w:rsidRDefault="004B6500" w:rsidP="001E3C99">
      <w:r>
        <w:t xml:space="preserve">Leverandør vil stå ansvarlig for å etablere basisplattform </w:t>
      </w:r>
      <w:r w:rsidR="00CD2D41">
        <w:t xml:space="preserve">og </w:t>
      </w:r>
      <w:proofErr w:type="spellStart"/>
      <w:r w:rsidR="00072376">
        <w:t>fasilitere</w:t>
      </w:r>
      <w:proofErr w:type="spellEnd"/>
      <w:r w:rsidR="00CD2D41">
        <w:t xml:space="preserve"> workshop for å konfigurere basis plattform</w:t>
      </w:r>
      <w:r w:rsidR="00ED7818">
        <w:t>. Dette inkluderer konfigurasjon av roller, grupper, organisasjon</w:t>
      </w:r>
      <w:r w:rsidR="004F537F">
        <w:t xml:space="preserve">, arbeidsflyt og spesifikasjon av layout (Bergen kommune sin logo </w:t>
      </w:r>
      <w:r w:rsidR="00072376">
        <w:t>osv.</w:t>
      </w:r>
      <w:r w:rsidR="004F537F">
        <w:t>)</w:t>
      </w:r>
      <w:r w:rsidR="00ED7818">
        <w:t xml:space="preserve">.  </w:t>
      </w:r>
    </w:p>
    <w:p w14:paraId="76D7D49F" w14:textId="797F6CDD" w:rsidR="004159D8" w:rsidRDefault="00ED7818" w:rsidP="001E3C99">
      <w:r>
        <w:t>Leverandør vil også stå ansvarlig for all opplæring i denne perioden</w:t>
      </w:r>
      <w:r w:rsidR="3BED60B8">
        <w:t xml:space="preserve"> </w:t>
      </w:r>
      <w:r w:rsidR="3BED60B8" w:rsidRPr="004B697F">
        <w:t>ref. bilag 1.</w:t>
      </w:r>
      <w:r w:rsidR="009C596E">
        <w:t xml:space="preserve"> </w:t>
      </w:r>
      <w:r w:rsidR="00E24325">
        <w:t>Leverandør vil i samarbeid med Bergen kommune</w:t>
      </w:r>
      <w:r w:rsidR="007150A7">
        <w:t>s prosjektgruppe være ansvarlig for integrasjoner</w:t>
      </w:r>
      <w:r w:rsidR="00EC2EC1">
        <w:t xml:space="preserve"> samt. </w:t>
      </w:r>
      <w:r w:rsidR="007112C7">
        <w:t>k</w:t>
      </w:r>
      <w:r w:rsidR="004957A3">
        <w:t>onvertering av data fra eksisterende løsning B</w:t>
      </w:r>
      <w:r w:rsidR="00072376">
        <w:t>kB</w:t>
      </w:r>
      <w:r w:rsidR="004957A3">
        <w:t xml:space="preserve">ygg. </w:t>
      </w:r>
      <w:r w:rsidR="007150A7">
        <w:t xml:space="preserve">Det forventes at partene </w:t>
      </w:r>
      <w:r w:rsidR="00537F16">
        <w:t>tester løsningen fortløpende</w:t>
      </w:r>
      <w:r w:rsidR="006A4601">
        <w:t xml:space="preserve"> og gjennomfører system- og integrasjonstest, </w:t>
      </w:r>
      <w:r w:rsidR="004B4D47">
        <w:t xml:space="preserve">samt en avsluttende akseptansetest fra kunde med godkjenning. </w:t>
      </w:r>
    </w:p>
    <w:p w14:paraId="3FFFE7A2" w14:textId="757BE3E8" w:rsidR="006A4F34" w:rsidRDefault="008544E2" w:rsidP="001E3C99">
      <w:r>
        <w:t xml:space="preserve">Ref. Avtalens punkt </w:t>
      </w:r>
      <w:r w:rsidR="001B1F21">
        <w:t xml:space="preserve">3.2 </w:t>
      </w:r>
      <w:r w:rsidR="00EB44AF">
        <w:t xml:space="preserve">skal Leverandøren sende skriftlig melding (Leveransemelding) til Kunden når etableringsfasen er avsluttet og tjenesten kan tas i bruk. </w:t>
      </w:r>
    </w:p>
    <w:p w14:paraId="57CD0307" w14:textId="654F3D45" w:rsidR="00C02D5A" w:rsidRDefault="35035522" w:rsidP="4A33294E">
      <w:pPr>
        <w:spacing w:line="257" w:lineRule="auto"/>
        <w:rPr>
          <w:rFonts w:ascii="Calibri" w:eastAsia="Calibri" w:hAnsi="Calibri" w:cs="Calibri"/>
        </w:rPr>
      </w:pPr>
      <w:r w:rsidRPr="4A33294E">
        <w:rPr>
          <w:rFonts w:ascii="Calibri" w:eastAsia="Calibri" w:hAnsi="Calibri" w:cs="Calibri"/>
        </w:rPr>
        <w:t xml:space="preserve">Det er ønskelig at etableringsfasen starter umiddelbart etter kontraktsignering og Leveringsdag senest </w:t>
      </w:r>
      <w:r w:rsidR="3F25BD9F" w:rsidRPr="4A33294E">
        <w:rPr>
          <w:rFonts w:ascii="Calibri" w:eastAsia="Calibri" w:hAnsi="Calibri" w:cs="Calibri"/>
        </w:rPr>
        <w:t>5</w:t>
      </w:r>
      <w:r w:rsidRPr="4A33294E">
        <w:rPr>
          <w:rFonts w:ascii="Calibri" w:eastAsia="Calibri" w:hAnsi="Calibri" w:cs="Calibri"/>
        </w:rPr>
        <w:t xml:space="preserve"> måneder etter kontraktsignering.</w:t>
      </w:r>
    </w:p>
    <w:p w14:paraId="7AD32BAE" w14:textId="185E8E24" w:rsidR="001174E1" w:rsidRPr="00FD6668" w:rsidRDefault="006A4F34" w:rsidP="001E3C99">
      <w:pPr>
        <w:rPr>
          <w:rStyle w:val="Sterk"/>
        </w:rPr>
      </w:pPr>
      <w:r w:rsidRPr="00FD6668">
        <w:rPr>
          <w:rStyle w:val="Sterk"/>
        </w:rPr>
        <w:lastRenderedPageBreak/>
        <w:t xml:space="preserve">Sentrale </w:t>
      </w:r>
      <w:r w:rsidR="014A5EF4" w:rsidRPr="05DA5792">
        <w:rPr>
          <w:rStyle w:val="Sterk"/>
        </w:rPr>
        <w:t>aktiviteter</w:t>
      </w:r>
      <w:r w:rsidR="00BA0693">
        <w:rPr>
          <w:rStyle w:val="Sterk"/>
        </w:rPr>
        <w:t>/</w:t>
      </w:r>
      <w:r w:rsidRPr="00FD6668">
        <w:rPr>
          <w:rStyle w:val="Sterk"/>
        </w:rPr>
        <w:t xml:space="preserve">milepæler: </w:t>
      </w:r>
    </w:p>
    <w:p w14:paraId="3C1698EF" w14:textId="245B76D7" w:rsidR="001174E1" w:rsidRDefault="00D6218A" w:rsidP="001174E1">
      <w:pPr>
        <w:pStyle w:val="Listeavsnitt"/>
        <w:numPr>
          <w:ilvl w:val="0"/>
          <w:numId w:val="14"/>
        </w:numPr>
      </w:pPr>
      <w:r>
        <w:t>Oppstartsmøte avholdt</w:t>
      </w:r>
    </w:p>
    <w:p w14:paraId="43D66D2F" w14:textId="09468ACC" w:rsidR="00985C42" w:rsidRDefault="00985C42" w:rsidP="001174E1">
      <w:pPr>
        <w:pStyle w:val="Listeavsnitt"/>
        <w:numPr>
          <w:ilvl w:val="0"/>
          <w:numId w:val="14"/>
        </w:numPr>
      </w:pPr>
      <w:r>
        <w:t>Endelig plan for Etablering av tjenesten ferdigstilt</w:t>
      </w:r>
    </w:p>
    <w:p w14:paraId="7E9854E5" w14:textId="70D2AED5" w:rsidR="001174E1" w:rsidRDefault="000E4F9C" w:rsidP="001174E1">
      <w:pPr>
        <w:pStyle w:val="Listeavsnitt"/>
        <w:numPr>
          <w:ilvl w:val="0"/>
          <w:numId w:val="14"/>
        </w:numPr>
      </w:pPr>
      <w:r>
        <w:t>Dokumentasjon overlevert til Kunde (</w:t>
      </w:r>
      <w:r w:rsidR="007653B6">
        <w:t xml:space="preserve">systemdokumentasjon, </w:t>
      </w:r>
      <w:r w:rsidR="00072376">
        <w:t>brukerdokumentasjon og</w:t>
      </w:r>
      <w:r w:rsidR="007653B6">
        <w:t xml:space="preserve"> integrasjonsdokumentasjon)</w:t>
      </w:r>
    </w:p>
    <w:p w14:paraId="3BB95684" w14:textId="77777777" w:rsidR="001174E1" w:rsidRPr="00072376" w:rsidRDefault="00043332" w:rsidP="001174E1">
      <w:pPr>
        <w:pStyle w:val="Listeavsnitt"/>
        <w:numPr>
          <w:ilvl w:val="0"/>
          <w:numId w:val="14"/>
        </w:numPr>
      </w:pPr>
      <w:r>
        <w:t xml:space="preserve">Basis </w:t>
      </w:r>
      <w:r w:rsidRPr="00072376">
        <w:t>plattform etablert</w:t>
      </w:r>
    </w:p>
    <w:p w14:paraId="24F47B57" w14:textId="6C9B479F" w:rsidR="001174E1" w:rsidRPr="00072376" w:rsidRDefault="00022EA5" w:rsidP="001174E1">
      <w:pPr>
        <w:pStyle w:val="Listeavsnitt"/>
        <w:numPr>
          <w:ilvl w:val="0"/>
          <w:numId w:val="14"/>
        </w:numPr>
      </w:pPr>
      <w:r w:rsidRPr="00072376">
        <w:t xml:space="preserve">Workshop for </w:t>
      </w:r>
      <w:r w:rsidR="307A1ADA" w:rsidRPr="00072376">
        <w:t>konfigurering</w:t>
      </w:r>
      <w:r w:rsidRPr="00072376">
        <w:t xml:space="preserve"> fra basis plattform</w:t>
      </w:r>
      <w:r w:rsidR="64C35207" w:rsidRPr="00072376">
        <w:t xml:space="preserve"> ferdigstilt</w:t>
      </w:r>
    </w:p>
    <w:p w14:paraId="47FBA9D6" w14:textId="45C609F3" w:rsidR="001174E1" w:rsidRPr="00072376" w:rsidRDefault="00043332" w:rsidP="001174E1">
      <w:pPr>
        <w:pStyle w:val="Listeavsnitt"/>
        <w:numPr>
          <w:ilvl w:val="0"/>
          <w:numId w:val="14"/>
        </w:numPr>
      </w:pPr>
      <w:r w:rsidRPr="00072376">
        <w:t>Konfigurasjon a</w:t>
      </w:r>
      <w:r w:rsidR="00416AA8" w:rsidRPr="00072376">
        <w:t>v løsningen ferdigstilt</w:t>
      </w:r>
      <w:r w:rsidR="006C6F7A" w:rsidRPr="00072376">
        <w:t xml:space="preserve"> (arbeidsflyt, </w:t>
      </w:r>
      <w:r w:rsidR="00072376" w:rsidRPr="00072376">
        <w:t>organisasjon og</w:t>
      </w:r>
      <w:r w:rsidR="006C6F7A" w:rsidRPr="00072376">
        <w:t xml:space="preserve"> </w:t>
      </w:r>
      <w:r w:rsidR="00EC2EC1" w:rsidRPr="00072376">
        <w:t>roller)</w:t>
      </w:r>
    </w:p>
    <w:p w14:paraId="77090C78" w14:textId="2A95DE25" w:rsidR="00EC2EC1" w:rsidRPr="00072376" w:rsidRDefault="2A873FA2" w:rsidP="001174E1">
      <w:pPr>
        <w:pStyle w:val="Listeavsnitt"/>
        <w:numPr>
          <w:ilvl w:val="0"/>
          <w:numId w:val="14"/>
        </w:numPr>
      </w:pPr>
      <w:r w:rsidRPr="00072376">
        <w:t>Datamigrering gjennomført fra B</w:t>
      </w:r>
      <w:r w:rsidR="00072376">
        <w:t>kB</w:t>
      </w:r>
      <w:r w:rsidRPr="00072376">
        <w:t>ygg</w:t>
      </w:r>
    </w:p>
    <w:p w14:paraId="53C1AADD" w14:textId="329FE230" w:rsidR="001174E1" w:rsidRPr="00072376" w:rsidRDefault="008A4E20" w:rsidP="001174E1">
      <w:pPr>
        <w:pStyle w:val="Listeavsnitt"/>
        <w:numPr>
          <w:ilvl w:val="0"/>
          <w:numId w:val="14"/>
        </w:numPr>
      </w:pPr>
      <w:r w:rsidRPr="00072376">
        <w:t>Integrasjoner</w:t>
      </w:r>
      <w:r w:rsidR="5613A880" w:rsidRPr="00072376">
        <w:t xml:space="preserve"> gjennomført</w:t>
      </w:r>
    </w:p>
    <w:p w14:paraId="40F6685D" w14:textId="3F129BBF" w:rsidR="001174E1" w:rsidRPr="00072376" w:rsidRDefault="008A4E20" w:rsidP="001174E1">
      <w:pPr>
        <w:pStyle w:val="Listeavsnitt"/>
        <w:numPr>
          <w:ilvl w:val="0"/>
          <w:numId w:val="14"/>
        </w:numPr>
      </w:pPr>
      <w:r w:rsidRPr="00072376">
        <w:t>Konfigurasjon av roller og grupper</w:t>
      </w:r>
      <w:r w:rsidR="1178223D" w:rsidRPr="00072376">
        <w:t xml:space="preserve"> ferdigstilt</w:t>
      </w:r>
    </w:p>
    <w:p w14:paraId="46663624" w14:textId="59D80E57" w:rsidR="001174E1" w:rsidRPr="00072376" w:rsidRDefault="008A4E20" w:rsidP="001174E1">
      <w:pPr>
        <w:pStyle w:val="Listeavsnitt"/>
        <w:numPr>
          <w:ilvl w:val="0"/>
          <w:numId w:val="14"/>
        </w:numPr>
      </w:pPr>
      <w:r w:rsidRPr="00072376">
        <w:t xml:space="preserve">Konfigurasjon av organisasjon </w:t>
      </w:r>
      <w:r w:rsidR="6B4B6F7B" w:rsidRPr="00072376">
        <w:t>ferdigstilt</w:t>
      </w:r>
    </w:p>
    <w:p w14:paraId="34ED2B57" w14:textId="4B95F6F9" w:rsidR="001174E1" w:rsidRPr="00072376" w:rsidRDefault="008A4E20" w:rsidP="001174E1">
      <w:pPr>
        <w:pStyle w:val="Listeavsnitt"/>
        <w:numPr>
          <w:ilvl w:val="0"/>
          <w:numId w:val="14"/>
        </w:numPr>
      </w:pPr>
      <w:r w:rsidRPr="00072376">
        <w:t>Spesifikasjon av layout (etablering av Bergen kom</w:t>
      </w:r>
      <w:r w:rsidR="00072376">
        <w:t>mun</w:t>
      </w:r>
      <w:r w:rsidRPr="00072376">
        <w:t xml:space="preserve">e sin logo, farger </w:t>
      </w:r>
      <w:r w:rsidR="00072376">
        <w:t>osv.</w:t>
      </w:r>
      <w:r w:rsidRPr="00072376">
        <w:t>)</w:t>
      </w:r>
      <w:r w:rsidR="5EE0EDC5" w:rsidRPr="00072376">
        <w:t xml:space="preserve"> ferdigstilt</w:t>
      </w:r>
    </w:p>
    <w:p w14:paraId="0ED53CEC" w14:textId="61C91FB5" w:rsidR="001174E1" w:rsidRPr="00072376" w:rsidRDefault="008A4E20" w:rsidP="007F75A8">
      <w:pPr>
        <w:pStyle w:val="Listeavsnitt"/>
        <w:numPr>
          <w:ilvl w:val="0"/>
          <w:numId w:val="14"/>
        </w:numPr>
      </w:pPr>
      <w:r w:rsidRPr="00072376">
        <w:t>Leverandørtest</w:t>
      </w:r>
      <w:r w:rsidR="007F75A8" w:rsidRPr="00072376">
        <w:t xml:space="preserve"> gjennomført (system- og integrasjonstest)</w:t>
      </w:r>
    </w:p>
    <w:p w14:paraId="115703B9" w14:textId="7D2D7172" w:rsidR="001174E1" w:rsidRPr="00072376" w:rsidRDefault="00A56E52" w:rsidP="6FACA6FA">
      <w:pPr>
        <w:pStyle w:val="Listeavsnitt"/>
        <w:numPr>
          <w:ilvl w:val="0"/>
          <w:numId w:val="14"/>
        </w:numPr>
      </w:pPr>
      <w:r w:rsidRPr="00072376">
        <w:t>Opplæring</w:t>
      </w:r>
      <w:r w:rsidR="69796770" w:rsidRPr="00072376">
        <w:t xml:space="preserve"> for opplæringsgruppe 1</w:t>
      </w:r>
      <w:r w:rsidR="007A2548" w:rsidRPr="00072376">
        <w:t>-4</w:t>
      </w:r>
      <w:r w:rsidR="69796770" w:rsidRPr="00072376">
        <w:t xml:space="preserve"> gjennomført</w:t>
      </w:r>
    </w:p>
    <w:p w14:paraId="0F49F8EE" w14:textId="1F3EACE2" w:rsidR="001174E1" w:rsidRPr="00072376" w:rsidRDefault="001174E1" w:rsidP="001174E1">
      <w:pPr>
        <w:pStyle w:val="Listeavsnitt"/>
        <w:numPr>
          <w:ilvl w:val="0"/>
          <w:numId w:val="14"/>
        </w:numPr>
      </w:pPr>
      <w:r w:rsidRPr="00072376">
        <w:t xml:space="preserve">Leveransemelding sendt </w:t>
      </w:r>
      <w:r w:rsidR="007E2D82" w:rsidRPr="00072376">
        <w:t>fra leverandør</w:t>
      </w:r>
    </w:p>
    <w:p w14:paraId="2309FDED" w14:textId="6074863D" w:rsidR="00EF65E2" w:rsidRPr="00072376" w:rsidRDefault="43F91D12" w:rsidP="325BD61A">
      <w:pPr>
        <w:rPr>
          <w:i/>
          <w:iCs/>
        </w:rPr>
      </w:pPr>
      <w:r>
        <w:t>I Etableringsfasen skal minimum følgende integrasjoner etableres som en del av løsningen:</w:t>
      </w:r>
      <w:r w:rsidR="00EF65E2">
        <w:br/>
      </w:r>
      <w:r w:rsidR="00EF65E2">
        <w:br/>
      </w:r>
      <w:r w:rsidRPr="325BD61A">
        <w:rPr>
          <w:i/>
          <w:iCs/>
        </w:rPr>
        <w:t xml:space="preserve">Integrasjoner i etableringsfasen ref. </w:t>
      </w:r>
      <w:r w:rsidR="00072376" w:rsidRPr="00072376">
        <w:rPr>
          <w:i/>
          <w:iCs/>
        </w:rPr>
        <w:t>Vedlegg 1 Prosess- og arkitekturmålbilde</w:t>
      </w:r>
      <w:r w:rsidR="00EF65E2">
        <w:br/>
      </w:r>
      <w:r w:rsidRPr="325BD61A">
        <w:rPr>
          <w:i/>
          <w:iCs/>
        </w:rPr>
        <w:t xml:space="preserve">- </w:t>
      </w:r>
      <w:r w:rsidRPr="00072376">
        <w:t>FIKS tjenesteplattform</w:t>
      </w:r>
      <w:r w:rsidR="00EF65E2">
        <w:br/>
      </w:r>
      <w:r>
        <w:t>- UNIT4 ERP</w:t>
      </w:r>
      <w:r w:rsidR="00EF65E2">
        <w:br/>
      </w:r>
      <w:r>
        <w:t>- BK360</w:t>
      </w:r>
      <w:r w:rsidR="00EF65E2">
        <w:br/>
      </w:r>
      <w:r>
        <w:t>- Fellesdata</w:t>
      </w:r>
      <w:r w:rsidR="00EF65E2">
        <w:br/>
      </w:r>
      <w:r>
        <w:t>-ADFS</w:t>
      </w:r>
      <w:r w:rsidR="00EF65E2">
        <w:br/>
      </w:r>
      <w:r>
        <w:t>-</w:t>
      </w:r>
      <w:proofErr w:type="spellStart"/>
      <w:r>
        <w:t>VisGi</w:t>
      </w:r>
      <w:proofErr w:type="spellEnd"/>
    </w:p>
    <w:p w14:paraId="184E1446" w14:textId="77777777" w:rsidR="00715CDF" w:rsidRDefault="00DF7239" w:rsidP="00715CDF">
      <w:pPr>
        <w:pStyle w:val="Overskrift2"/>
        <w:rPr>
          <w:rStyle w:val="Overskrift2Tegn"/>
        </w:rPr>
      </w:pPr>
      <w:bookmarkStart w:id="6" w:name="_Toc70525204"/>
      <w:r w:rsidRPr="00F65C9E">
        <w:rPr>
          <w:rStyle w:val="Overskrift2Tegn"/>
        </w:rPr>
        <w:t xml:space="preserve">2.2 </w:t>
      </w:r>
      <w:r w:rsidR="00F87FCE" w:rsidRPr="00F65C9E">
        <w:rPr>
          <w:rStyle w:val="Overskrift2Tegn"/>
        </w:rPr>
        <w:t>Godkjenningsperiode</w:t>
      </w:r>
      <w:bookmarkEnd w:id="6"/>
    </w:p>
    <w:p w14:paraId="21FA1243" w14:textId="2168C264" w:rsidR="001E3C99" w:rsidRPr="00B50231" w:rsidRDefault="00F61CE2" w:rsidP="001E3C99">
      <w:pPr>
        <w:rPr>
          <w:highlight w:val="yellow"/>
        </w:rPr>
      </w:pPr>
      <w:r>
        <w:t xml:space="preserve">Det skal gjennomføres en akseptansetest </w:t>
      </w:r>
      <w:r w:rsidR="00115276">
        <w:t xml:space="preserve">etter Leverandøren har sendt Leveransemelding </w:t>
      </w:r>
      <w:r>
        <w:t xml:space="preserve">for å godkjenne leveransen.  </w:t>
      </w:r>
      <w:r w:rsidR="00B50231">
        <w:t>K</w:t>
      </w:r>
      <w:r>
        <w:t xml:space="preserve">unden </w:t>
      </w:r>
      <w:r w:rsidR="00B50231">
        <w:t xml:space="preserve">skal </w:t>
      </w:r>
      <w:r>
        <w:t xml:space="preserve">gjennomføre </w:t>
      </w:r>
      <w:r w:rsidR="00B50231">
        <w:t xml:space="preserve">akseptansetest </w:t>
      </w:r>
      <w:r>
        <w:t xml:space="preserve">og gi tilbakemelding til Leverandør innen </w:t>
      </w:r>
      <w:r w:rsidR="00856405">
        <w:t>25</w:t>
      </w:r>
      <w:r w:rsidR="00E11FED">
        <w:t> </w:t>
      </w:r>
      <w:r>
        <w:t>virkedager. En eventuell avvisning vil medføre ny akseptansetest, med ny frist.</w:t>
      </w:r>
      <w:r w:rsidR="00D81D95">
        <w:t xml:space="preserve"> </w:t>
      </w:r>
    </w:p>
    <w:p w14:paraId="35028C1F" w14:textId="4A7CF106" w:rsidR="00DA17EC" w:rsidRPr="001D3D55" w:rsidRDefault="00AE4C48" w:rsidP="006A5B9E">
      <w:pPr>
        <w:autoSpaceDE w:val="0"/>
        <w:autoSpaceDN w:val="0"/>
        <w:adjustRightInd w:val="0"/>
        <w:spacing w:after="0" w:line="240" w:lineRule="auto"/>
      </w:pPr>
      <w:r w:rsidRPr="001D3D55">
        <w:t>For godkjenningsprøven legge</w:t>
      </w:r>
      <w:r w:rsidR="002F5A79" w:rsidRPr="001D3D55">
        <w:t>s</w:t>
      </w:r>
      <w:r w:rsidR="00454056" w:rsidRPr="001D3D55">
        <w:t xml:space="preserve"> </w:t>
      </w:r>
      <w:r w:rsidR="00454056" w:rsidRPr="001D3D5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feilkategorier som angitt i </w:t>
      </w:r>
      <w:r w:rsidR="0028040C" w:rsidRPr="001D3D5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Avtalens </w:t>
      </w:r>
      <w:r w:rsidR="003F0098" w:rsidRPr="001D3D5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punkt </w:t>
      </w:r>
      <w:r w:rsidR="00DA17EC" w:rsidRPr="001D3D5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3.3 til grunn.</w:t>
      </w:r>
      <w:r w:rsidR="00102C1C" w:rsidRPr="001D3D55">
        <w:rPr>
          <w:rFonts w:ascii="Arial" w:hAnsi="Arial" w:cs="Arial"/>
        </w:rPr>
        <w:t xml:space="preserve"> </w:t>
      </w:r>
      <w:r w:rsidR="00102C1C" w:rsidRPr="001D3D55">
        <w:t>Alle feil som meldes skal være kategorisert av Kunden som A-, B- eller C-feil iht. feilkate</w:t>
      </w:r>
      <w:r w:rsidR="00A52521" w:rsidRPr="001D3D55">
        <w:t>goriene</w:t>
      </w:r>
      <w:r w:rsidR="00F32085" w:rsidRPr="001D3D55">
        <w:t xml:space="preserve">. Kunden kan ikke nekte å godkjenne testen på grunn av forhold som er uvesentlige for Kundens bruk av leveransen. A- og B-feil anses hver for seg som vesentlige, med unntak av B-feil som ikke er vesentlige for Kundens mulighet til å </w:t>
      </w:r>
      <w:r w:rsidR="007D0609" w:rsidRPr="001D3D55">
        <w:t>sette løsningen i drift</w:t>
      </w:r>
      <w:r w:rsidR="00F32085" w:rsidRPr="001D3D55">
        <w:t xml:space="preserve">. </w:t>
      </w:r>
      <w:r w:rsidR="006A5B9E" w:rsidRPr="001D3D55">
        <w:t>C-feil anses som uvesentlige, hvis ikke flere C-feil samlet sett medfører at godkjennelse vil være klart urimelig.</w:t>
      </w:r>
    </w:p>
    <w:p w14:paraId="0FE33072" w14:textId="77777777" w:rsidR="00103E10" w:rsidRPr="001D3D55" w:rsidRDefault="00103E10" w:rsidP="00FD30D0">
      <w:pPr>
        <w:autoSpaceDE w:val="0"/>
        <w:autoSpaceDN w:val="0"/>
        <w:adjustRightInd w:val="0"/>
        <w:spacing w:after="0" w:line="240" w:lineRule="auto"/>
      </w:pPr>
    </w:p>
    <w:p w14:paraId="7C23A5FF" w14:textId="19C64063" w:rsidR="00FD30D0" w:rsidRPr="001D3D55" w:rsidRDefault="00FD30D0" w:rsidP="00FD30D0">
      <w:pPr>
        <w:autoSpaceDE w:val="0"/>
        <w:autoSpaceDN w:val="0"/>
        <w:adjustRightInd w:val="0"/>
        <w:spacing w:after="0" w:line="240" w:lineRule="auto"/>
      </w:pPr>
      <w:r w:rsidRPr="001D3D55">
        <w:t>Akseptansetesten kan godkjennes når</w:t>
      </w:r>
      <w:r w:rsidR="00103E10" w:rsidRPr="001D3D55">
        <w:t>:</w:t>
      </w:r>
    </w:p>
    <w:p w14:paraId="7EA41F4B" w14:textId="29CD270E" w:rsidR="00FD30D0" w:rsidRPr="001D3D55" w:rsidRDefault="00FD30D0" w:rsidP="00FD30D0">
      <w:pPr>
        <w:autoSpaceDE w:val="0"/>
        <w:autoSpaceDN w:val="0"/>
        <w:adjustRightInd w:val="0"/>
        <w:spacing w:after="0" w:line="240" w:lineRule="auto"/>
      </w:pPr>
      <w:r w:rsidRPr="001D3D55">
        <w:t>• Alle feil i kategori A og B er rettet</w:t>
      </w:r>
    </w:p>
    <w:p w14:paraId="3AC6CA8A" w14:textId="4F2830CB" w:rsidR="00FD30D0" w:rsidRDefault="00FD30D0" w:rsidP="00FD30D0">
      <w:pPr>
        <w:autoSpaceDE w:val="0"/>
        <w:autoSpaceDN w:val="0"/>
        <w:adjustRightInd w:val="0"/>
        <w:spacing w:after="0" w:line="240" w:lineRule="auto"/>
      </w:pPr>
      <w:r w:rsidRPr="001D3D55">
        <w:t>• Maksima</w:t>
      </w:r>
      <w:r w:rsidR="002602A1" w:rsidRPr="001D3D55">
        <w:t>l</w:t>
      </w:r>
      <w:r w:rsidRPr="001D3D55">
        <w:t>t 20 C-fe</w:t>
      </w:r>
      <w:r w:rsidR="002602A1" w:rsidRPr="001D3D55">
        <w:t>il</w:t>
      </w:r>
      <w:r w:rsidRPr="001D3D55">
        <w:t xml:space="preserve"> gjenst</w:t>
      </w:r>
      <w:r w:rsidR="002602A1" w:rsidRPr="001D3D55">
        <w:t>å</w:t>
      </w:r>
      <w:r w:rsidRPr="001D3D55">
        <w:t>r, og retteplan for disse er o</w:t>
      </w:r>
      <w:r w:rsidR="002602A1" w:rsidRPr="001D3D55">
        <w:t>pprettet.</w:t>
      </w:r>
    </w:p>
    <w:p w14:paraId="4AA6198D" w14:textId="7836716D" w:rsidR="001174E1" w:rsidRPr="006A5B9E" w:rsidRDefault="006A5B9E" w:rsidP="001E3C99">
      <w:r>
        <w:br/>
      </w:r>
      <w:r w:rsidR="00280861" w:rsidRPr="007D6C10">
        <w:rPr>
          <w:b/>
          <w:bCs/>
        </w:rPr>
        <w:t xml:space="preserve">Sentrale </w:t>
      </w:r>
      <w:r w:rsidR="0810757B" w:rsidRPr="05DA5792">
        <w:rPr>
          <w:b/>
          <w:bCs/>
        </w:rPr>
        <w:t>aktiviteter</w:t>
      </w:r>
      <w:r w:rsidR="0019294E">
        <w:rPr>
          <w:b/>
          <w:bCs/>
        </w:rPr>
        <w:t>/</w:t>
      </w:r>
      <w:r w:rsidR="00280861" w:rsidRPr="007D6C10">
        <w:rPr>
          <w:b/>
          <w:bCs/>
        </w:rPr>
        <w:t>milepæler:</w:t>
      </w:r>
    </w:p>
    <w:p w14:paraId="4A136611" w14:textId="444E0BBE" w:rsidR="00B50231" w:rsidRDefault="00B50231" w:rsidP="00C02D5A">
      <w:pPr>
        <w:pStyle w:val="Listeavsnitt"/>
        <w:numPr>
          <w:ilvl w:val="0"/>
          <w:numId w:val="14"/>
        </w:numPr>
      </w:pPr>
      <w:r>
        <w:t>Akseptansetest gjennomført</w:t>
      </w:r>
    </w:p>
    <w:p w14:paraId="0FEE1856" w14:textId="115CA787" w:rsidR="00C02D5A" w:rsidRDefault="005C1C89" w:rsidP="00C02D5A">
      <w:pPr>
        <w:pStyle w:val="Listeavsnitt"/>
        <w:numPr>
          <w:ilvl w:val="0"/>
          <w:numId w:val="14"/>
        </w:numPr>
      </w:pPr>
      <w:r>
        <w:t>Løsningen</w:t>
      </w:r>
      <w:r w:rsidR="006A4F34">
        <w:t xml:space="preserve"> godkjent av Kunde </w:t>
      </w:r>
      <w:r w:rsidR="0064574A">
        <w:t>og tilbakemelding sendt til Leverandør</w:t>
      </w:r>
    </w:p>
    <w:p w14:paraId="1A37D270" w14:textId="0B583D4D" w:rsidR="00FD03EF" w:rsidRDefault="00FD03EF" w:rsidP="6FACA6FA">
      <w:pPr>
        <w:pStyle w:val="Listeavsnitt"/>
        <w:numPr>
          <w:ilvl w:val="0"/>
          <w:numId w:val="14"/>
        </w:numPr>
      </w:pPr>
      <w:r>
        <w:t>Produksjonssetting (overføre fra utvikling/test til produksjonsplattform)</w:t>
      </w:r>
      <w:r w:rsidR="16DA245D">
        <w:t xml:space="preserve"> </w:t>
      </w:r>
    </w:p>
    <w:p w14:paraId="29F6201C" w14:textId="0FDDF0CB" w:rsidR="08DC2800" w:rsidRDefault="08DC2800" w:rsidP="6FACA6FA">
      <w:pPr>
        <w:pStyle w:val="Listeavsnitt"/>
        <w:numPr>
          <w:ilvl w:val="0"/>
          <w:numId w:val="14"/>
        </w:numPr>
      </w:pPr>
      <w:r w:rsidRPr="00FD3D29">
        <w:t xml:space="preserve">Verifisering av </w:t>
      </w:r>
      <w:r w:rsidR="00FD3D29" w:rsidRPr="00FD3D29">
        <w:t>produksjonssetting</w:t>
      </w:r>
    </w:p>
    <w:p w14:paraId="48797258" w14:textId="44A2F08D" w:rsidR="002B3934" w:rsidRDefault="006A4F34" w:rsidP="002B3934">
      <w:pPr>
        <w:pStyle w:val="Listeavsnitt"/>
        <w:numPr>
          <w:ilvl w:val="0"/>
          <w:numId w:val="14"/>
        </w:numPr>
      </w:pPr>
      <w:r>
        <w:lastRenderedPageBreak/>
        <w:t xml:space="preserve">Leveringsdag </w:t>
      </w:r>
      <w:r>
        <w:br/>
      </w:r>
    </w:p>
    <w:p w14:paraId="134A405A" w14:textId="77777777" w:rsidR="002B3934" w:rsidRPr="004E115B" w:rsidRDefault="002B3934" w:rsidP="002B3934"/>
    <w:p w14:paraId="22F378DC" w14:textId="2AFEFBE8" w:rsidR="00F66B81" w:rsidRDefault="00F66B81" w:rsidP="00F65C9E">
      <w:pPr>
        <w:pStyle w:val="Overskrift2"/>
      </w:pPr>
      <w:bookmarkStart w:id="7" w:name="_Toc70525205"/>
      <w:r>
        <w:t xml:space="preserve">2.3 </w:t>
      </w:r>
      <w:r w:rsidRPr="00F65C9E">
        <w:t>Leverandørens</w:t>
      </w:r>
      <w:r>
        <w:t xml:space="preserve"> tentative plan for Etableringsfasen</w:t>
      </w:r>
      <w:bookmarkEnd w:id="7"/>
      <w:r>
        <w:t xml:space="preserve"> </w:t>
      </w:r>
    </w:p>
    <w:p w14:paraId="1312C3D5" w14:textId="77777777" w:rsidR="00F65C9E" w:rsidRPr="00F65C9E" w:rsidRDefault="00F65C9E" w:rsidP="00F65C9E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8070"/>
      </w:tblGrid>
      <w:tr w:rsidR="00F66B81" w14:paraId="525BC88D" w14:textId="77777777" w:rsidTr="05DA5792">
        <w:trPr>
          <w:trHeight w:val="300"/>
        </w:trPr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002110" w14:textId="77777777" w:rsidR="00F66B81" w:rsidRDefault="00F66B81" w:rsidP="00A676D8">
            <w:r w:rsidRPr="28CD36A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8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0127AD" w14:textId="77777777" w:rsidR="00F66B81" w:rsidRDefault="00F66B81" w:rsidP="00A676D8">
            <w:r w:rsidRPr="28CD36AD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Kravbeskrivelse</w:t>
            </w:r>
          </w:p>
        </w:tc>
      </w:tr>
      <w:tr w:rsidR="00F66B81" w14:paraId="3F17A5A0" w14:textId="77777777" w:rsidTr="462AD2BF"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29A59C" w14:textId="073235A7" w:rsidR="00F66B81" w:rsidRDefault="00847B72" w:rsidP="00A676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67F76">
              <w:rPr>
                <w:rFonts w:ascii="Calibri" w:eastAsia="Calibri" w:hAnsi="Calibri" w:cs="Calibri"/>
              </w:rPr>
              <w:t>.1</w:t>
            </w:r>
          </w:p>
        </w:tc>
        <w:tc>
          <w:tcPr>
            <w:tcW w:w="8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C32A17" w14:textId="0174B4DE" w:rsidR="00F66B81" w:rsidRDefault="00F66B81" w:rsidP="00A676D8">
            <w:r>
              <w:t xml:space="preserve">Leverandør skal levere en </w:t>
            </w:r>
            <w:r w:rsidR="18F6E667">
              <w:t>t</w:t>
            </w:r>
            <w:r>
              <w:t>entativ plan for Etableringsfas</w:t>
            </w:r>
            <w:r w:rsidR="005F2BB4">
              <w:t>en</w:t>
            </w:r>
            <w:r>
              <w:t xml:space="preserve"> der Leverandør presenterer en detaljert prosjekt- og framdriftsplan for etablering i henhold til beskrivelsen i dette bilaget.</w:t>
            </w:r>
            <w:r>
              <w:br/>
            </w:r>
          </w:p>
          <w:p w14:paraId="64C1751A" w14:textId="4832F73A" w:rsidR="00F66B81" w:rsidRPr="002B3934" w:rsidRDefault="002B3934" w:rsidP="002B3934">
            <w:r>
              <w:t>V</w:t>
            </w:r>
            <w:r w:rsidR="00E048E5">
              <w:t xml:space="preserve">ed oppstart av avtalen skal partene samarbeide om å konkretisere Plan for Etableringsfasen basert på leverandørens </w:t>
            </w:r>
            <w:r w:rsidR="000C3115">
              <w:t>t</w:t>
            </w:r>
            <w:r w:rsidR="00E048E5">
              <w:t>entative plan for Etableringsfasen.</w:t>
            </w:r>
            <w:r w:rsidR="00E048E5">
              <w:br/>
            </w:r>
          </w:p>
          <w:p w14:paraId="6CB6569C" w14:textId="77777777" w:rsidR="00F66B81" w:rsidRDefault="00F66B81" w:rsidP="00A676D8">
            <w:pPr>
              <w:rPr>
                <w:rFonts w:eastAsia="Cambria"/>
              </w:rPr>
            </w:pPr>
            <w:r w:rsidRPr="28CD36AD">
              <w:rPr>
                <w:rFonts w:eastAsia="Cambria"/>
              </w:rPr>
              <w:t xml:space="preserve">I </w:t>
            </w:r>
            <w:r>
              <w:rPr>
                <w:rFonts w:eastAsia="Cambria"/>
              </w:rPr>
              <w:t>Tentativ plan for etableringsfasen</w:t>
            </w:r>
            <w:r w:rsidRPr="28CD36AD">
              <w:rPr>
                <w:rFonts w:eastAsia="Cambria"/>
              </w:rPr>
              <w:t xml:space="preserve"> skal det også fremkomme beskrivelse av:</w:t>
            </w:r>
          </w:p>
          <w:p w14:paraId="2A259BA7" w14:textId="7D2E7C23" w:rsidR="00F66B81" w:rsidRDefault="00F66B81" w:rsidP="00A676D8">
            <w:pPr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eastAsia="Cambria"/>
              </w:rPr>
            </w:pPr>
            <w:r w:rsidRPr="3ADB8079">
              <w:rPr>
                <w:rFonts w:eastAsia="Cambria"/>
              </w:rPr>
              <w:t>Milepæler</w:t>
            </w:r>
            <w:r w:rsidR="00E048E5">
              <w:rPr>
                <w:rFonts w:eastAsia="Cambria"/>
              </w:rPr>
              <w:t xml:space="preserve">, </w:t>
            </w:r>
            <w:r w:rsidR="00D4267C">
              <w:rPr>
                <w:rFonts w:eastAsia="Cambria"/>
              </w:rPr>
              <w:t xml:space="preserve">leveranser, </w:t>
            </w:r>
            <w:r w:rsidRPr="3ADB8079">
              <w:rPr>
                <w:rFonts w:eastAsia="Cambria"/>
              </w:rPr>
              <w:t>aktiviteter</w:t>
            </w:r>
            <w:r w:rsidR="00E048E5">
              <w:rPr>
                <w:rFonts w:eastAsia="Cambria"/>
              </w:rPr>
              <w:t xml:space="preserve"> og avhengigheter</w:t>
            </w:r>
            <w:r w:rsidR="002B3934">
              <w:rPr>
                <w:rFonts w:eastAsia="Cambria"/>
              </w:rPr>
              <w:t xml:space="preserve">. </w:t>
            </w:r>
            <w:r w:rsidR="002B3934">
              <w:t xml:space="preserve">For aktiviteter må det tydelig fremkomme oppstart, varighet, roller, ansvar og evt. avhengigheter. For milepæler må det tydelig fremkomme kriterier, leveranser og beslutninger.  </w:t>
            </w:r>
          </w:p>
          <w:p w14:paraId="7FD12E9B" w14:textId="77777777" w:rsidR="00F66B81" w:rsidRDefault="00F66B81" w:rsidP="00A676D8">
            <w:pPr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</w:pPr>
            <w:r w:rsidRPr="3ADB8079">
              <w:rPr>
                <w:rFonts w:eastAsia="Cambria"/>
              </w:rPr>
              <w:t>Testplan</w:t>
            </w:r>
          </w:p>
          <w:p w14:paraId="16F5E174" w14:textId="77777777" w:rsidR="00F66B81" w:rsidRDefault="00F66B81" w:rsidP="00A676D8">
            <w:pPr>
              <w:numPr>
                <w:ilvl w:val="0"/>
                <w:numId w:val="4"/>
              </w:numPr>
              <w:spacing w:line="276" w:lineRule="auto"/>
              <w:rPr>
                <w:rFonts w:eastAsia="Cambria"/>
              </w:rPr>
            </w:pPr>
            <w:r w:rsidRPr="3ADB8079">
              <w:rPr>
                <w:rFonts w:eastAsia="Cambria"/>
              </w:rPr>
              <w:t xml:space="preserve">Leverandørens prosjektmetodikk, herunder aktiviteter som styrer tid, kostnader og kvalitet i prosjektet, f.eks. rapportering, ressursallokering, usikkerhetsstyring, kvalitetssikring, kommunikasjon, konfigurasjonsstyring, etc. </w:t>
            </w:r>
          </w:p>
          <w:p w14:paraId="71D6DD67" w14:textId="5F6A6A4D" w:rsidR="00F66B81" w:rsidRDefault="00F66B81" w:rsidP="00A676D8">
            <w:pPr>
              <w:pStyle w:val="Listeavsnit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eastAsia="Cambria"/>
              </w:rPr>
            </w:pPr>
            <w:r w:rsidRPr="462AD2BF">
              <w:rPr>
                <w:rFonts w:eastAsia="Cambria"/>
              </w:rPr>
              <w:t>Organiseringen som vil legges til grunn for gjennomføring av prosjektet med beskrivelse av roller, omfang, kompetanse</w:t>
            </w:r>
            <w:r w:rsidR="420FEB8F" w:rsidRPr="462AD2BF">
              <w:rPr>
                <w:rFonts w:eastAsia="Cambria"/>
              </w:rPr>
              <w:t xml:space="preserve">, </w:t>
            </w:r>
            <w:r w:rsidRPr="462AD2BF">
              <w:rPr>
                <w:rFonts w:eastAsia="Cambria"/>
              </w:rPr>
              <w:t xml:space="preserve">og ansvar. </w:t>
            </w:r>
            <w:r w:rsidR="43AD865A" w:rsidRPr="462AD2BF">
              <w:rPr>
                <w:rFonts w:eastAsia="Cambria"/>
              </w:rPr>
              <w:t>Dette inkluderer også CV på ressurser som skal være en del av etableringsfasen.</w:t>
            </w:r>
          </w:p>
          <w:p w14:paraId="5AF8B672" w14:textId="77777777" w:rsidR="00F66B81" w:rsidRDefault="00F66B81" w:rsidP="00A676D8">
            <w:pPr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eastAsia="Cambria"/>
              </w:rPr>
            </w:pPr>
            <w:r w:rsidRPr="3ADB8079">
              <w:rPr>
                <w:rFonts w:eastAsia="Cambria"/>
              </w:rPr>
              <w:t>Kundens frister, medvirkning, kompetansekrav og ansvar for leveransens gjennomføring</w:t>
            </w:r>
          </w:p>
          <w:p w14:paraId="127C2156" w14:textId="77777777" w:rsidR="00F66B81" w:rsidRDefault="00F66B81" w:rsidP="00A676D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66B81" w14:paraId="622C011B" w14:textId="77777777" w:rsidTr="462AD2BF">
        <w:tc>
          <w:tcPr>
            <w:tcW w:w="90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5F7B68" w14:textId="77777777" w:rsidR="00695BC1" w:rsidRDefault="00F66B81" w:rsidP="00A676D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8CD36AD">
              <w:rPr>
                <w:rFonts w:ascii="Calibri" w:eastAsia="Calibri" w:hAnsi="Calibri" w:cs="Calibri"/>
                <w:color w:val="000000" w:themeColor="text1"/>
              </w:rPr>
              <w:t>Besvarelse:</w:t>
            </w:r>
          </w:p>
          <w:p w14:paraId="71F1BEA7" w14:textId="4125BA0E" w:rsidR="00F66B81" w:rsidRPr="00F87125" w:rsidRDefault="00F66B81" w:rsidP="00A676D8">
            <w:r>
              <w:br/>
            </w:r>
            <w:r w:rsidRPr="0058612D">
              <w:rPr>
                <w:rFonts w:ascii="Calibri" w:eastAsia="Calibri" w:hAnsi="Calibri" w:cs="Calibri"/>
                <w:color w:val="000000" w:themeColor="text1"/>
              </w:rPr>
              <w:t xml:space="preserve">Besvares i form av en prosjekt- og framdriftsplan i eget vedlegg som </w:t>
            </w:r>
            <w:r w:rsidRPr="0058612D">
              <w:t>navngis SSA-L Bilag 3 Vedlegg A Tentativ plan for Etableringsfasen</w:t>
            </w:r>
          </w:p>
        </w:tc>
      </w:tr>
    </w:tbl>
    <w:p w14:paraId="499AFF8D" w14:textId="77219332" w:rsidR="619BC9D8" w:rsidRPr="009748E4" w:rsidRDefault="00EB4592" w:rsidP="009748E4"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9"/>
        <w:gridCol w:w="8063"/>
      </w:tblGrid>
      <w:tr w:rsidR="05DA5792" w14:paraId="5787D1A9" w14:textId="77777777" w:rsidTr="4A33294E">
        <w:trPr>
          <w:trHeight w:val="300"/>
        </w:trPr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3448D0" w14:textId="77777777" w:rsidR="05DA5792" w:rsidRDefault="05DA5792">
            <w:r w:rsidRPr="05DA57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8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302D77" w14:textId="77777777" w:rsidR="05DA5792" w:rsidRDefault="05DA5792">
            <w:r w:rsidRPr="05DA579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Kravbeskrivelse</w:t>
            </w:r>
          </w:p>
        </w:tc>
      </w:tr>
      <w:tr w:rsidR="05DA5792" w14:paraId="6DE75B96" w14:textId="77777777" w:rsidTr="4A33294E"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7D43EB" w14:textId="633CF0DF" w:rsidR="65ADE65C" w:rsidRDefault="00167F76" w:rsidP="05DA57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</w:t>
            </w:r>
          </w:p>
        </w:tc>
        <w:tc>
          <w:tcPr>
            <w:tcW w:w="8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63A9CD" w14:textId="6145DEC1" w:rsidR="65ADE65C" w:rsidRDefault="05E63AEC" w:rsidP="4A33294E">
            <w:pPr>
              <w:rPr>
                <w:rFonts w:eastAsiaTheme="minorEastAsia"/>
                <w:color w:val="000000" w:themeColor="text1"/>
              </w:rPr>
            </w:pPr>
            <w:r w:rsidRPr="4A33294E">
              <w:rPr>
                <w:rFonts w:eastAsiaTheme="minorEastAsia"/>
                <w:color w:val="000000" w:themeColor="text1"/>
              </w:rPr>
              <w:t>I prosjektgjennomføringen skal Leverandør sikre høy kvalitet på sine leveranser. Leverandøren skal gi en beskrivelse av hvordan dette konkret skal foregå i etablering av tjenesten.</w:t>
            </w:r>
            <w:r w:rsidR="65ADE65C">
              <w:br/>
            </w:r>
            <w:r w:rsidRPr="4A33294E">
              <w:rPr>
                <w:rFonts w:eastAsiaTheme="minorEastAsia"/>
                <w:color w:val="000000" w:themeColor="text1"/>
              </w:rPr>
              <w:t xml:space="preserve"> </w:t>
            </w:r>
            <w:r w:rsidR="65ADE65C">
              <w:br/>
            </w:r>
            <w:r w:rsidRPr="4A33294E">
              <w:rPr>
                <w:rFonts w:eastAsiaTheme="minorEastAsia"/>
                <w:color w:val="000000" w:themeColor="text1"/>
              </w:rPr>
              <w:t>Leverandøren skal beskrive:</w:t>
            </w:r>
          </w:p>
          <w:p w14:paraId="35B2FDD4" w14:textId="484D902E" w:rsidR="65ADE65C" w:rsidRDefault="05E63AEC" w:rsidP="4A33294E">
            <w:pPr>
              <w:pStyle w:val="Listeavsnitt"/>
              <w:numPr>
                <w:ilvl w:val="0"/>
                <w:numId w:val="13"/>
              </w:numPr>
              <w:rPr>
                <w:rFonts w:eastAsiaTheme="minorEastAsia"/>
                <w:color w:val="000000" w:themeColor="text1"/>
              </w:rPr>
            </w:pPr>
            <w:r w:rsidRPr="4A33294E">
              <w:rPr>
                <w:rFonts w:eastAsiaTheme="minorEastAsia"/>
                <w:color w:val="000000" w:themeColor="text1"/>
              </w:rPr>
              <w:t>Metode for kvalitetssikring</w:t>
            </w:r>
          </w:p>
          <w:p w14:paraId="72EBF190" w14:textId="6BFF5B29" w:rsidR="65ADE65C" w:rsidRDefault="05E63AEC" w:rsidP="4A33294E">
            <w:pPr>
              <w:pStyle w:val="Listeavsnitt"/>
              <w:numPr>
                <w:ilvl w:val="0"/>
                <w:numId w:val="13"/>
              </w:numPr>
              <w:rPr>
                <w:rFonts w:eastAsiaTheme="minorEastAsia"/>
                <w:color w:val="000000" w:themeColor="text1"/>
              </w:rPr>
            </w:pPr>
            <w:r w:rsidRPr="4A33294E">
              <w:rPr>
                <w:rFonts w:eastAsiaTheme="minorEastAsia"/>
                <w:color w:val="000000" w:themeColor="text1"/>
              </w:rPr>
              <w:t>Leverandørens rutiner og prosedyrer for endringsstyring</w:t>
            </w:r>
          </w:p>
        </w:tc>
      </w:tr>
      <w:tr w:rsidR="05DA5792" w14:paraId="68AE2296" w14:textId="77777777" w:rsidTr="4A33294E">
        <w:tc>
          <w:tcPr>
            <w:tcW w:w="906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CEB0F6" w14:textId="06104FE7" w:rsidR="05DA5792" w:rsidRDefault="05DA5792">
            <w:r w:rsidRPr="05DA5792">
              <w:rPr>
                <w:rFonts w:ascii="Calibri" w:eastAsia="Calibri" w:hAnsi="Calibri" w:cs="Calibri"/>
                <w:color w:val="000000" w:themeColor="text1"/>
              </w:rPr>
              <w:t>Besvarelse:</w:t>
            </w:r>
            <w:r>
              <w:br/>
            </w:r>
            <w:r>
              <w:br/>
            </w:r>
          </w:p>
        </w:tc>
      </w:tr>
    </w:tbl>
    <w:p w14:paraId="1D0D63F7" w14:textId="7E7FCECA" w:rsidR="6FACA6FA" w:rsidRDefault="6FACA6FA" w:rsidP="6FACA6FA"/>
    <w:p w14:paraId="4925DFB6" w14:textId="748E21B1" w:rsidR="6FACA6FA" w:rsidRDefault="6FACA6FA" w:rsidP="6FACA6FA"/>
    <w:p w14:paraId="2BED78E9" w14:textId="079AD836" w:rsidR="00910A3B" w:rsidRPr="004E115B" w:rsidRDefault="00910A3B" w:rsidP="004E115B">
      <w:pPr>
        <w:pStyle w:val="Overskrift1"/>
      </w:pPr>
      <w:bookmarkStart w:id="8" w:name="_Toc57103207"/>
      <w:bookmarkStart w:id="9" w:name="_Toc70525206"/>
      <w:r w:rsidRPr="004E115B">
        <w:t>Avtalens punkt 9.2.3 Dagbot ved forsinkelse</w:t>
      </w:r>
      <w:bookmarkEnd w:id="8"/>
      <w:bookmarkEnd w:id="9"/>
    </w:p>
    <w:p w14:paraId="0494DA67" w14:textId="4EA6DC05" w:rsidR="00DC0894" w:rsidRPr="006F3821" w:rsidRDefault="00DC0894" w:rsidP="00DC0894">
      <w:pPr>
        <w:rPr>
          <w:rFonts w:eastAsia="Cambria" w:cstheme="minorHAnsi"/>
        </w:rPr>
      </w:pPr>
      <w:r w:rsidRPr="006F3821">
        <w:rPr>
          <w:rFonts w:eastAsia="Cambria" w:cstheme="minorHAnsi"/>
        </w:rPr>
        <w:t xml:space="preserve">Dersom leveringstidspunkt </w:t>
      </w:r>
      <w:r w:rsidR="00AE55B8" w:rsidRPr="006F3821">
        <w:rPr>
          <w:rFonts w:eastAsia="Cambria" w:cstheme="minorHAnsi"/>
        </w:rPr>
        <w:t xml:space="preserve">på milepæler nevnt nedenfor </w:t>
      </w:r>
      <w:r w:rsidRPr="006F3821">
        <w:rPr>
          <w:rFonts w:eastAsia="Cambria" w:cstheme="minorHAnsi"/>
        </w:rPr>
        <w:t>forsinkes med mer enn én uke, påløper dagbøter. Dagbøtene beregnes i henhold til SSA-L, pkt. 9.2.3.</w:t>
      </w:r>
    </w:p>
    <w:tbl>
      <w:tblPr>
        <w:tblStyle w:val="Tabellrutenett"/>
        <w:tblW w:w="8931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410"/>
        <w:gridCol w:w="2552"/>
        <w:gridCol w:w="3969"/>
      </w:tblGrid>
      <w:tr w:rsidR="008D6CAB" w:rsidRPr="006F3821" w14:paraId="27B7B952" w14:textId="77777777" w:rsidTr="00072376">
        <w:tc>
          <w:tcPr>
            <w:tcW w:w="2410" w:type="dxa"/>
          </w:tcPr>
          <w:p w14:paraId="65C8DF86" w14:textId="77777777" w:rsidR="008D6CAB" w:rsidRPr="00FA0757" w:rsidRDefault="008D6CAB" w:rsidP="006F3821">
            <w:pPr>
              <w:pStyle w:val="Listeavsnitt"/>
              <w:ind w:left="0"/>
              <w:jc w:val="center"/>
              <w:rPr>
                <w:rFonts w:eastAsia="Cambria" w:cstheme="minorHAnsi"/>
              </w:rPr>
            </w:pPr>
            <w:r w:rsidRPr="00FA0757">
              <w:rPr>
                <w:rFonts w:eastAsia="Cambria" w:cstheme="minorHAnsi"/>
              </w:rPr>
              <w:t>Periode</w:t>
            </w:r>
          </w:p>
        </w:tc>
        <w:tc>
          <w:tcPr>
            <w:tcW w:w="2552" w:type="dxa"/>
          </w:tcPr>
          <w:p w14:paraId="66340872" w14:textId="77777777" w:rsidR="008D6CAB" w:rsidRPr="00FA0757" w:rsidRDefault="008D6CAB" w:rsidP="006F3821">
            <w:pPr>
              <w:pStyle w:val="Listeavsnitt"/>
              <w:ind w:left="0"/>
              <w:jc w:val="center"/>
              <w:rPr>
                <w:rFonts w:eastAsia="Cambria" w:cstheme="minorHAnsi"/>
              </w:rPr>
            </w:pPr>
            <w:r w:rsidRPr="00FA0757">
              <w:rPr>
                <w:rFonts w:eastAsia="Cambria" w:cstheme="minorHAnsi"/>
              </w:rPr>
              <w:t>Milepæl</w:t>
            </w:r>
          </w:p>
        </w:tc>
        <w:tc>
          <w:tcPr>
            <w:tcW w:w="3969" w:type="dxa"/>
          </w:tcPr>
          <w:p w14:paraId="0951F1D9" w14:textId="77777777" w:rsidR="008D6CAB" w:rsidRPr="00FA0757" w:rsidRDefault="008D6CAB" w:rsidP="006F3821">
            <w:pPr>
              <w:pStyle w:val="Listeavsnitt"/>
              <w:ind w:left="0"/>
              <w:jc w:val="center"/>
              <w:rPr>
                <w:rFonts w:eastAsia="Cambria" w:cstheme="minorHAnsi"/>
              </w:rPr>
            </w:pPr>
            <w:r w:rsidRPr="00FA0757">
              <w:rPr>
                <w:rFonts w:eastAsia="Cambria" w:cstheme="minorHAnsi"/>
              </w:rPr>
              <w:t>Dato</w:t>
            </w:r>
          </w:p>
        </w:tc>
      </w:tr>
      <w:tr w:rsidR="008D6CAB" w:rsidRPr="006F3821" w14:paraId="022BD231" w14:textId="77777777" w:rsidTr="00072376">
        <w:tc>
          <w:tcPr>
            <w:tcW w:w="2410" w:type="dxa"/>
          </w:tcPr>
          <w:p w14:paraId="4E4D4E10" w14:textId="51060672" w:rsidR="008D6CAB" w:rsidRPr="00FA0757" w:rsidRDefault="00B95AFA" w:rsidP="006F3821">
            <w:pPr>
              <w:pStyle w:val="Listeavsnitt"/>
              <w:ind w:left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Etableringsfase</w:t>
            </w:r>
          </w:p>
        </w:tc>
        <w:tc>
          <w:tcPr>
            <w:tcW w:w="2552" w:type="dxa"/>
          </w:tcPr>
          <w:p w14:paraId="06B89C66" w14:textId="4979AB4E" w:rsidR="008D6CAB" w:rsidRPr="00FA0757" w:rsidRDefault="00900600" w:rsidP="006F3821">
            <w:pPr>
              <w:pStyle w:val="Listeavsnitt"/>
              <w:ind w:left="0"/>
              <w:rPr>
                <w:rFonts w:eastAsia="Cambria"/>
              </w:rPr>
            </w:pPr>
            <w:r w:rsidRPr="05DA5792">
              <w:rPr>
                <w:rFonts w:eastAsia="Cambria"/>
              </w:rPr>
              <w:t>Leveransemelding</w:t>
            </w:r>
          </w:p>
        </w:tc>
        <w:tc>
          <w:tcPr>
            <w:tcW w:w="3969" w:type="dxa"/>
          </w:tcPr>
          <w:p w14:paraId="18BC1DE2" w14:textId="7065C834" w:rsidR="00985C42" w:rsidRDefault="007C0EDC" w:rsidP="00985C42">
            <w:r>
              <w:t>Datoen avtales når e</w:t>
            </w:r>
            <w:r w:rsidR="00985C42">
              <w:t>ndelig plan for Etablering av tjenesten er ferdigstilt</w:t>
            </w:r>
          </w:p>
          <w:p w14:paraId="12989228" w14:textId="03D32320" w:rsidR="008D6CAB" w:rsidRPr="00FA0757" w:rsidRDefault="008D6CAB" w:rsidP="006F3821">
            <w:pPr>
              <w:pStyle w:val="Listeavsnitt"/>
              <w:ind w:left="0"/>
              <w:rPr>
                <w:rFonts w:eastAsia="Cambria"/>
              </w:rPr>
            </w:pPr>
          </w:p>
        </w:tc>
      </w:tr>
      <w:tr w:rsidR="008D6CAB" w:rsidRPr="006F3821" w14:paraId="74666068" w14:textId="77777777" w:rsidTr="00072376">
        <w:tc>
          <w:tcPr>
            <w:tcW w:w="2410" w:type="dxa"/>
          </w:tcPr>
          <w:p w14:paraId="662B441E" w14:textId="008807E2" w:rsidR="008D6CAB" w:rsidRPr="00FA0757" w:rsidRDefault="00900600" w:rsidP="006F3821">
            <w:pPr>
              <w:pStyle w:val="Listeavsnitt"/>
              <w:ind w:left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Godkjenningsperiode</w:t>
            </w:r>
          </w:p>
        </w:tc>
        <w:tc>
          <w:tcPr>
            <w:tcW w:w="2552" w:type="dxa"/>
          </w:tcPr>
          <w:p w14:paraId="24E11416" w14:textId="53A70775" w:rsidR="008D6CAB" w:rsidRPr="00FA0757" w:rsidRDefault="00900600" w:rsidP="006F3821">
            <w:pPr>
              <w:pStyle w:val="Listeavsnitt"/>
              <w:ind w:left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 xml:space="preserve">Leveringsdag </w:t>
            </w:r>
          </w:p>
        </w:tc>
        <w:tc>
          <w:tcPr>
            <w:tcW w:w="3969" w:type="dxa"/>
          </w:tcPr>
          <w:p w14:paraId="2F6AE4AE" w14:textId="77777777" w:rsidR="00365E10" w:rsidRDefault="00365E10" w:rsidP="00365E10">
            <w:r>
              <w:t>Datoen avtales når endelig plan for Etablering av tjenesten er ferdigstilt</w:t>
            </w:r>
          </w:p>
          <w:p w14:paraId="3DF4D399" w14:textId="77777777" w:rsidR="008D6CAB" w:rsidRPr="00FA0757" w:rsidRDefault="008D6CAB" w:rsidP="006F3821">
            <w:pPr>
              <w:pStyle w:val="Listeavsnitt"/>
              <w:rPr>
                <w:rFonts w:eastAsia="Cambria" w:cstheme="minorHAnsi"/>
              </w:rPr>
            </w:pPr>
          </w:p>
        </w:tc>
      </w:tr>
    </w:tbl>
    <w:p w14:paraId="4D68DE48" w14:textId="5C87A7F0" w:rsidR="00991DFA" w:rsidRDefault="00991DFA" w:rsidP="00A743EC"/>
    <w:sectPr w:rsidR="00991DFA" w:rsidSect="0000422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E3BE1" w14:textId="77777777" w:rsidR="00A671ED" w:rsidRDefault="00A671ED" w:rsidP="00004226">
      <w:pPr>
        <w:spacing w:after="0" w:line="240" w:lineRule="auto"/>
      </w:pPr>
      <w:r>
        <w:separator/>
      </w:r>
    </w:p>
  </w:endnote>
  <w:endnote w:type="continuationSeparator" w:id="0">
    <w:p w14:paraId="704CC774" w14:textId="77777777" w:rsidR="00A671ED" w:rsidRDefault="00A671ED" w:rsidP="00004226">
      <w:pPr>
        <w:spacing w:after="0" w:line="240" w:lineRule="auto"/>
      </w:pPr>
      <w:r>
        <w:continuationSeparator/>
      </w:r>
    </w:p>
  </w:endnote>
  <w:endnote w:type="continuationNotice" w:id="1">
    <w:p w14:paraId="49DD71FE" w14:textId="77777777" w:rsidR="00A671ED" w:rsidRDefault="00A671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8285632"/>
      <w:docPartObj>
        <w:docPartGallery w:val="Page Numbers (Bottom of Page)"/>
        <w:docPartUnique/>
      </w:docPartObj>
    </w:sdtPr>
    <w:sdtEndPr/>
    <w:sdtContent>
      <w:p w14:paraId="5E81CF19" w14:textId="77777777" w:rsidR="002145F0" w:rsidRDefault="002145F0" w:rsidP="002145F0">
        <w:pPr>
          <w:pStyle w:val="Topptekst"/>
          <w:jc w:val="center"/>
          <w:rPr>
            <w:rFonts w:ascii="Calibri" w:hAnsi="Calibri"/>
            <w:smallCaps/>
            <w:sz w:val="18"/>
            <w:szCs w:val="18"/>
          </w:rPr>
        </w:pPr>
        <w:r w:rsidRPr="003449CE">
          <w:rPr>
            <w:rFonts w:ascii="Calibri" w:hAnsi="Calibri"/>
            <w:sz w:val="18"/>
            <w:szCs w:val="18"/>
          </w:rPr>
          <w:t xml:space="preserve">Side </w:t>
        </w:r>
        <w:r w:rsidRPr="003449CE">
          <w:rPr>
            <w:rFonts w:ascii="Calibri" w:hAnsi="Calibri"/>
            <w:smallCaps/>
            <w:sz w:val="18"/>
            <w:szCs w:val="18"/>
          </w:rPr>
          <w:fldChar w:fldCharType="begin"/>
        </w:r>
        <w:r w:rsidRPr="003449CE">
          <w:rPr>
            <w:rFonts w:ascii="Calibri" w:hAnsi="Calibri"/>
            <w:sz w:val="18"/>
            <w:szCs w:val="18"/>
          </w:rPr>
          <w:instrText xml:space="preserve"> PAGE </w:instrText>
        </w:r>
        <w:r w:rsidRPr="003449CE">
          <w:rPr>
            <w:rFonts w:ascii="Calibri" w:hAnsi="Calibri"/>
            <w:smallCaps/>
            <w:sz w:val="18"/>
            <w:szCs w:val="18"/>
          </w:rPr>
          <w:fldChar w:fldCharType="separate"/>
        </w:r>
        <w:r>
          <w:rPr>
            <w:rFonts w:ascii="Calibri" w:hAnsi="Calibri"/>
            <w:smallCaps/>
            <w:sz w:val="18"/>
            <w:szCs w:val="18"/>
          </w:rPr>
          <w:t>2</w:t>
        </w:r>
        <w:r w:rsidRPr="003449CE">
          <w:rPr>
            <w:rFonts w:ascii="Calibri" w:hAnsi="Calibri"/>
            <w:smallCaps/>
            <w:sz w:val="18"/>
            <w:szCs w:val="18"/>
          </w:rPr>
          <w:fldChar w:fldCharType="end"/>
        </w:r>
        <w:r w:rsidRPr="003449CE">
          <w:rPr>
            <w:rFonts w:ascii="Calibri" w:hAnsi="Calibri"/>
            <w:sz w:val="18"/>
            <w:szCs w:val="18"/>
          </w:rPr>
          <w:t xml:space="preserve"> av </w:t>
        </w:r>
        <w:r w:rsidRPr="003449CE">
          <w:rPr>
            <w:rFonts w:ascii="Calibri" w:hAnsi="Calibri"/>
            <w:smallCaps/>
            <w:sz w:val="18"/>
            <w:szCs w:val="18"/>
          </w:rPr>
          <w:fldChar w:fldCharType="begin"/>
        </w:r>
        <w:r w:rsidRPr="003449CE">
          <w:rPr>
            <w:rFonts w:ascii="Calibri" w:hAnsi="Calibri"/>
            <w:sz w:val="18"/>
            <w:szCs w:val="18"/>
          </w:rPr>
          <w:instrText xml:space="preserve"> NUMPAGES </w:instrText>
        </w:r>
        <w:r w:rsidRPr="003449CE">
          <w:rPr>
            <w:rFonts w:ascii="Calibri" w:hAnsi="Calibri"/>
            <w:smallCaps/>
            <w:sz w:val="18"/>
            <w:szCs w:val="18"/>
          </w:rPr>
          <w:fldChar w:fldCharType="separate"/>
        </w:r>
        <w:r>
          <w:rPr>
            <w:rFonts w:ascii="Calibri" w:hAnsi="Calibri"/>
            <w:smallCaps/>
            <w:sz w:val="18"/>
            <w:szCs w:val="18"/>
          </w:rPr>
          <w:t>35</w:t>
        </w:r>
        <w:r w:rsidRPr="003449CE">
          <w:rPr>
            <w:rFonts w:ascii="Calibri" w:hAnsi="Calibri"/>
            <w:smallCaps/>
            <w:sz w:val="18"/>
            <w:szCs w:val="18"/>
          </w:rPr>
          <w:fldChar w:fldCharType="end"/>
        </w:r>
      </w:p>
      <w:p w14:paraId="15C0BFE3" w14:textId="0F30CEFF" w:rsidR="00004226" w:rsidRPr="002145F0" w:rsidRDefault="00A671ED" w:rsidP="002145F0">
        <w:pPr>
          <w:pStyle w:val="Topptekst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D2168" w14:textId="77777777" w:rsidR="00A671ED" w:rsidRDefault="00A671ED" w:rsidP="00004226">
      <w:pPr>
        <w:spacing w:after="0" w:line="240" w:lineRule="auto"/>
      </w:pPr>
      <w:r>
        <w:separator/>
      </w:r>
    </w:p>
  </w:footnote>
  <w:footnote w:type="continuationSeparator" w:id="0">
    <w:p w14:paraId="241A3FD0" w14:textId="77777777" w:rsidR="00A671ED" w:rsidRDefault="00A671ED" w:rsidP="00004226">
      <w:pPr>
        <w:spacing w:after="0" w:line="240" w:lineRule="auto"/>
      </w:pPr>
      <w:r>
        <w:continuationSeparator/>
      </w:r>
    </w:p>
  </w:footnote>
  <w:footnote w:type="continuationNotice" w:id="1">
    <w:p w14:paraId="378D076D" w14:textId="77777777" w:rsidR="00A671ED" w:rsidRDefault="00A671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95D00" w14:textId="7FDC08A0" w:rsidR="00004226" w:rsidRDefault="00004226" w:rsidP="00004226">
    <w:pPr>
      <w:pStyle w:val="Bunntekst"/>
    </w:pPr>
    <w:r>
      <w:rPr>
        <w:rFonts w:ascii="Calibri" w:hAnsi="Calibri"/>
        <w:sz w:val="18"/>
        <w:szCs w:val="18"/>
      </w:rPr>
      <w:t xml:space="preserve">SSA-L Avtale om levering av FM-system til Bergen kommune. Bilag 3 Plan for </w:t>
    </w:r>
    <w:r w:rsidR="00E677F2">
      <w:rPr>
        <w:rFonts w:ascii="Calibri" w:hAnsi="Calibri"/>
        <w:sz w:val="18"/>
        <w:szCs w:val="18"/>
      </w:rPr>
      <w:t>E</w:t>
    </w:r>
    <w:r>
      <w:rPr>
        <w:rFonts w:ascii="Calibri" w:hAnsi="Calibri"/>
        <w:sz w:val="18"/>
        <w:szCs w:val="18"/>
      </w:rPr>
      <w:t>tableringsfasen.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21AB"/>
    <w:multiLevelType w:val="hybridMultilevel"/>
    <w:tmpl w:val="B766721A"/>
    <w:lvl w:ilvl="0" w:tplc="2C18ECE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7D8"/>
    <w:multiLevelType w:val="hybridMultilevel"/>
    <w:tmpl w:val="2B3C2166"/>
    <w:lvl w:ilvl="0" w:tplc="BD1212F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6698"/>
    <w:multiLevelType w:val="hybridMultilevel"/>
    <w:tmpl w:val="56FC5D74"/>
    <w:lvl w:ilvl="0" w:tplc="0809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6A70"/>
    <w:multiLevelType w:val="hybridMultilevel"/>
    <w:tmpl w:val="895CEF90"/>
    <w:lvl w:ilvl="0" w:tplc="53A8BD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1A06"/>
    <w:multiLevelType w:val="hybridMultilevel"/>
    <w:tmpl w:val="CCEE3F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1388"/>
    <w:multiLevelType w:val="multilevel"/>
    <w:tmpl w:val="AD28576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2D21CFC"/>
    <w:multiLevelType w:val="multilevel"/>
    <w:tmpl w:val="977C0A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5753AD9"/>
    <w:multiLevelType w:val="hybridMultilevel"/>
    <w:tmpl w:val="92F441FA"/>
    <w:lvl w:ilvl="0" w:tplc="1920420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2108A"/>
    <w:multiLevelType w:val="multilevel"/>
    <w:tmpl w:val="219A59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8470945"/>
    <w:multiLevelType w:val="multilevel"/>
    <w:tmpl w:val="01964B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4C3387"/>
    <w:multiLevelType w:val="hybridMultilevel"/>
    <w:tmpl w:val="F7A4D4C8"/>
    <w:lvl w:ilvl="0" w:tplc="932A3A04">
      <w:start w:val="1"/>
      <w:numFmt w:val="lowerLetter"/>
      <w:lvlText w:val="%1)"/>
      <w:lvlJc w:val="left"/>
      <w:pPr>
        <w:ind w:left="720" w:hanging="360"/>
      </w:pPr>
    </w:lvl>
    <w:lvl w:ilvl="1" w:tplc="1A9C36E6">
      <w:start w:val="1"/>
      <w:numFmt w:val="lowerLetter"/>
      <w:lvlText w:val="%2."/>
      <w:lvlJc w:val="left"/>
      <w:pPr>
        <w:ind w:left="1440" w:hanging="360"/>
      </w:pPr>
    </w:lvl>
    <w:lvl w:ilvl="2" w:tplc="A2729948">
      <w:start w:val="1"/>
      <w:numFmt w:val="lowerRoman"/>
      <w:lvlText w:val="%3."/>
      <w:lvlJc w:val="right"/>
      <w:pPr>
        <w:ind w:left="2160" w:hanging="180"/>
      </w:pPr>
    </w:lvl>
    <w:lvl w:ilvl="3" w:tplc="EF845050">
      <w:start w:val="1"/>
      <w:numFmt w:val="decimal"/>
      <w:lvlText w:val="%4."/>
      <w:lvlJc w:val="left"/>
      <w:pPr>
        <w:ind w:left="2880" w:hanging="360"/>
      </w:pPr>
    </w:lvl>
    <w:lvl w:ilvl="4" w:tplc="5C301B7C">
      <w:start w:val="1"/>
      <w:numFmt w:val="lowerLetter"/>
      <w:lvlText w:val="%5."/>
      <w:lvlJc w:val="left"/>
      <w:pPr>
        <w:ind w:left="3600" w:hanging="360"/>
      </w:pPr>
    </w:lvl>
    <w:lvl w:ilvl="5" w:tplc="A43ABA18">
      <w:start w:val="1"/>
      <w:numFmt w:val="lowerRoman"/>
      <w:lvlText w:val="%6."/>
      <w:lvlJc w:val="right"/>
      <w:pPr>
        <w:ind w:left="4320" w:hanging="180"/>
      </w:pPr>
    </w:lvl>
    <w:lvl w:ilvl="6" w:tplc="A6E4E818">
      <w:start w:val="1"/>
      <w:numFmt w:val="decimal"/>
      <w:lvlText w:val="%7."/>
      <w:lvlJc w:val="left"/>
      <w:pPr>
        <w:ind w:left="5040" w:hanging="360"/>
      </w:pPr>
    </w:lvl>
    <w:lvl w:ilvl="7" w:tplc="A6A6A908">
      <w:start w:val="1"/>
      <w:numFmt w:val="lowerLetter"/>
      <w:lvlText w:val="%8."/>
      <w:lvlJc w:val="left"/>
      <w:pPr>
        <w:ind w:left="5760" w:hanging="360"/>
      </w:pPr>
    </w:lvl>
    <w:lvl w:ilvl="8" w:tplc="2D904F2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40EB6"/>
    <w:multiLevelType w:val="hybridMultilevel"/>
    <w:tmpl w:val="15B04B26"/>
    <w:lvl w:ilvl="0" w:tplc="5C6060E2">
      <w:start w:val="1"/>
      <w:numFmt w:val="decimal"/>
      <w:lvlText w:val="%1."/>
      <w:lvlJc w:val="left"/>
      <w:pPr>
        <w:ind w:left="720" w:hanging="360"/>
      </w:pPr>
    </w:lvl>
    <w:lvl w:ilvl="1" w:tplc="3DBA6CB2">
      <w:start w:val="1"/>
      <w:numFmt w:val="lowerLetter"/>
      <w:lvlText w:val="%2."/>
      <w:lvlJc w:val="left"/>
      <w:pPr>
        <w:ind w:left="1440" w:hanging="360"/>
      </w:pPr>
    </w:lvl>
    <w:lvl w:ilvl="2" w:tplc="73F61C48">
      <w:start w:val="1"/>
      <w:numFmt w:val="lowerRoman"/>
      <w:lvlText w:val="%3."/>
      <w:lvlJc w:val="right"/>
      <w:pPr>
        <w:ind w:left="2160" w:hanging="180"/>
      </w:pPr>
    </w:lvl>
    <w:lvl w:ilvl="3" w:tplc="67F829F0">
      <w:start w:val="1"/>
      <w:numFmt w:val="decimal"/>
      <w:lvlText w:val="%4."/>
      <w:lvlJc w:val="left"/>
      <w:pPr>
        <w:ind w:left="2880" w:hanging="360"/>
      </w:pPr>
    </w:lvl>
    <w:lvl w:ilvl="4" w:tplc="64B4D8EC">
      <w:start w:val="1"/>
      <w:numFmt w:val="lowerLetter"/>
      <w:lvlText w:val="%5."/>
      <w:lvlJc w:val="left"/>
      <w:pPr>
        <w:ind w:left="3600" w:hanging="360"/>
      </w:pPr>
    </w:lvl>
    <w:lvl w:ilvl="5" w:tplc="6EE8338A">
      <w:start w:val="1"/>
      <w:numFmt w:val="lowerRoman"/>
      <w:lvlText w:val="%6."/>
      <w:lvlJc w:val="right"/>
      <w:pPr>
        <w:ind w:left="4320" w:hanging="180"/>
      </w:pPr>
    </w:lvl>
    <w:lvl w:ilvl="6" w:tplc="9B9ADBB6">
      <w:start w:val="1"/>
      <w:numFmt w:val="decimal"/>
      <w:lvlText w:val="%7."/>
      <w:lvlJc w:val="left"/>
      <w:pPr>
        <w:ind w:left="5040" w:hanging="360"/>
      </w:pPr>
    </w:lvl>
    <w:lvl w:ilvl="7" w:tplc="5FB28F88">
      <w:start w:val="1"/>
      <w:numFmt w:val="lowerLetter"/>
      <w:lvlText w:val="%8."/>
      <w:lvlJc w:val="left"/>
      <w:pPr>
        <w:ind w:left="5760" w:hanging="360"/>
      </w:pPr>
    </w:lvl>
    <w:lvl w:ilvl="8" w:tplc="CC8CBC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02217"/>
    <w:multiLevelType w:val="multilevel"/>
    <w:tmpl w:val="29DC67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ED726D"/>
    <w:multiLevelType w:val="hybridMultilevel"/>
    <w:tmpl w:val="3D5AFDCC"/>
    <w:lvl w:ilvl="0" w:tplc="389E8AE8">
      <w:start w:val="1"/>
      <w:numFmt w:val="lowerLetter"/>
      <w:lvlText w:val="%1."/>
      <w:lvlJc w:val="left"/>
      <w:pPr>
        <w:ind w:left="720" w:hanging="360"/>
      </w:pPr>
    </w:lvl>
    <w:lvl w:ilvl="1" w:tplc="8F8C9778">
      <w:start w:val="1"/>
      <w:numFmt w:val="lowerLetter"/>
      <w:lvlText w:val="%2."/>
      <w:lvlJc w:val="left"/>
      <w:pPr>
        <w:ind w:left="1440" w:hanging="360"/>
      </w:pPr>
    </w:lvl>
    <w:lvl w:ilvl="2" w:tplc="6C02022E">
      <w:start w:val="1"/>
      <w:numFmt w:val="lowerRoman"/>
      <w:lvlText w:val="%3."/>
      <w:lvlJc w:val="right"/>
      <w:pPr>
        <w:ind w:left="2160" w:hanging="180"/>
      </w:pPr>
    </w:lvl>
    <w:lvl w:ilvl="3" w:tplc="147ADF30">
      <w:start w:val="1"/>
      <w:numFmt w:val="decimal"/>
      <w:lvlText w:val="%4."/>
      <w:lvlJc w:val="left"/>
      <w:pPr>
        <w:ind w:left="2880" w:hanging="360"/>
      </w:pPr>
    </w:lvl>
    <w:lvl w:ilvl="4" w:tplc="DA2455EC">
      <w:start w:val="1"/>
      <w:numFmt w:val="lowerLetter"/>
      <w:lvlText w:val="%5."/>
      <w:lvlJc w:val="left"/>
      <w:pPr>
        <w:ind w:left="3600" w:hanging="360"/>
      </w:pPr>
    </w:lvl>
    <w:lvl w:ilvl="5" w:tplc="9216CDFE">
      <w:start w:val="1"/>
      <w:numFmt w:val="lowerRoman"/>
      <w:lvlText w:val="%6."/>
      <w:lvlJc w:val="right"/>
      <w:pPr>
        <w:ind w:left="4320" w:hanging="180"/>
      </w:pPr>
    </w:lvl>
    <w:lvl w:ilvl="6" w:tplc="32C04262">
      <w:start w:val="1"/>
      <w:numFmt w:val="decimal"/>
      <w:lvlText w:val="%7."/>
      <w:lvlJc w:val="left"/>
      <w:pPr>
        <w:ind w:left="5040" w:hanging="360"/>
      </w:pPr>
    </w:lvl>
    <w:lvl w:ilvl="7" w:tplc="171ABC1A">
      <w:start w:val="1"/>
      <w:numFmt w:val="lowerLetter"/>
      <w:lvlText w:val="%8."/>
      <w:lvlJc w:val="left"/>
      <w:pPr>
        <w:ind w:left="5760" w:hanging="360"/>
      </w:pPr>
    </w:lvl>
    <w:lvl w:ilvl="8" w:tplc="B57008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  <w:num w:numId="15">
    <w:abstractNumId w:val="5"/>
    <w:lvlOverride w:ilvl="0">
      <w:startOverride w:val="4"/>
    </w:lvlOverride>
    <w:lvlOverride w:ilvl="1"/>
  </w:num>
  <w:num w:numId="16">
    <w:abstractNumId w:val="5"/>
  </w:num>
  <w:num w:numId="1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18"/>
    <w:rsid w:val="00004226"/>
    <w:rsid w:val="000147E0"/>
    <w:rsid w:val="00022EA5"/>
    <w:rsid w:val="00024A7C"/>
    <w:rsid w:val="00026904"/>
    <w:rsid w:val="000269C9"/>
    <w:rsid w:val="00043332"/>
    <w:rsid w:val="00047130"/>
    <w:rsid w:val="00056F51"/>
    <w:rsid w:val="00062FF8"/>
    <w:rsid w:val="0007206F"/>
    <w:rsid w:val="00072376"/>
    <w:rsid w:val="00083760"/>
    <w:rsid w:val="00084D57"/>
    <w:rsid w:val="00091307"/>
    <w:rsid w:val="0009140F"/>
    <w:rsid w:val="000A348F"/>
    <w:rsid w:val="000B2B24"/>
    <w:rsid w:val="000C3115"/>
    <w:rsid w:val="000C491B"/>
    <w:rsid w:val="000C6557"/>
    <w:rsid w:val="000C7EA6"/>
    <w:rsid w:val="000D155C"/>
    <w:rsid w:val="000E0235"/>
    <w:rsid w:val="000E4F9C"/>
    <w:rsid w:val="001001D5"/>
    <w:rsid w:val="00102C1C"/>
    <w:rsid w:val="00103E10"/>
    <w:rsid w:val="00106856"/>
    <w:rsid w:val="00113486"/>
    <w:rsid w:val="00115276"/>
    <w:rsid w:val="001174E1"/>
    <w:rsid w:val="0012422B"/>
    <w:rsid w:val="00124C59"/>
    <w:rsid w:val="0012602A"/>
    <w:rsid w:val="001271F0"/>
    <w:rsid w:val="00130F4A"/>
    <w:rsid w:val="001464D5"/>
    <w:rsid w:val="00167F76"/>
    <w:rsid w:val="001749EC"/>
    <w:rsid w:val="00177243"/>
    <w:rsid w:val="00182C75"/>
    <w:rsid w:val="0019188F"/>
    <w:rsid w:val="0019294E"/>
    <w:rsid w:val="001A15B3"/>
    <w:rsid w:val="001B1F21"/>
    <w:rsid w:val="001B244A"/>
    <w:rsid w:val="001C3031"/>
    <w:rsid w:val="001D0C92"/>
    <w:rsid w:val="001D1F9A"/>
    <w:rsid w:val="001D3D55"/>
    <w:rsid w:val="001D4F12"/>
    <w:rsid w:val="001D540B"/>
    <w:rsid w:val="001E1655"/>
    <w:rsid w:val="001E3C99"/>
    <w:rsid w:val="001E53D4"/>
    <w:rsid w:val="001E6F3F"/>
    <w:rsid w:val="001F5AF2"/>
    <w:rsid w:val="002145F0"/>
    <w:rsid w:val="002233D2"/>
    <w:rsid w:val="002359FF"/>
    <w:rsid w:val="00243D2F"/>
    <w:rsid w:val="00251FF9"/>
    <w:rsid w:val="00253E67"/>
    <w:rsid w:val="00254803"/>
    <w:rsid w:val="002602A1"/>
    <w:rsid w:val="002625D4"/>
    <w:rsid w:val="002704E5"/>
    <w:rsid w:val="002708F6"/>
    <w:rsid w:val="00270C94"/>
    <w:rsid w:val="00272029"/>
    <w:rsid w:val="0027678B"/>
    <w:rsid w:val="0028040C"/>
    <w:rsid w:val="00280861"/>
    <w:rsid w:val="002949FC"/>
    <w:rsid w:val="00296004"/>
    <w:rsid w:val="002965BE"/>
    <w:rsid w:val="002A5A68"/>
    <w:rsid w:val="002B3934"/>
    <w:rsid w:val="002B53AC"/>
    <w:rsid w:val="002D3546"/>
    <w:rsid w:val="002D7BA4"/>
    <w:rsid w:val="002E091D"/>
    <w:rsid w:val="002E093E"/>
    <w:rsid w:val="002E19AD"/>
    <w:rsid w:val="002E3B4D"/>
    <w:rsid w:val="002F5A79"/>
    <w:rsid w:val="002FE2CC"/>
    <w:rsid w:val="003019C8"/>
    <w:rsid w:val="00316168"/>
    <w:rsid w:val="003205EF"/>
    <w:rsid w:val="003207C7"/>
    <w:rsid w:val="003266BA"/>
    <w:rsid w:val="00330B9A"/>
    <w:rsid w:val="00341427"/>
    <w:rsid w:val="00343C99"/>
    <w:rsid w:val="0034612E"/>
    <w:rsid w:val="00346DEB"/>
    <w:rsid w:val="003516CB"/>
    <w:rsid w:val="003524F1"/>
    <w:rsid w:val="00363CB0"/>
    <w:rsid w:val="00364791"/>
    <w:rsid w:val="00365E10"/>
    <w:rsid w:val="003726BA"/>
    <w:rsid w:val="00383CFB"/>
    <w:rsid w:val="00384DA1"/>
    <w:rsid w:val="003920C9"/>
    <w:rsid w:val="003B427E"/>
    <w:rsid w:val="003C1D0A"/>
    <w:rsid w:val="003C4A89"/>
    <w:rsid w:val="003D4C23"/>
    <w:rsid w:val="003D56D8"/>
    <w:rsid w:val="003D79A5"/>
    <w:rsid w:val="003F0098"/>
    <w:rsid w:val="003F1B50"/>
    <w:rsid w:val="003F6082"/>
    <w:rsid w:val="004159D8"/>
    <w:rsid w:val="00416AA8"/>
    <w:rsid w:val="00420F07"/>
    <w:rsid w:val="00421E40"/>
    <w:rsid w:val="004273E0"/>
    <w:rsid w:val="00432433"/>
    <w:rsid w:val="004400AC"/>
    <w:rsid w:val="004416B9"/>
    <w:rsid w:val="00441CE7"/>
    <w:rsid w:val="004433B7"/>
    <w:rsid w:val="00443B86"/>
    <w:rsid w:val="004446FD"/>
    <w:rsid w:val="00446112"/>
    <w:rsid w:val="004505BC"/>
    <w:rsid w:val="00454056"/>
    <w:rsid w:val="00466848"/>
    <w:rsid w:val="00473B67"/>
    <w:rsid w:val="00476386"/>
    <w:rsid w:val="00484E56"/>
    <w:rsid w:val="00484EAD"/>
    <w:rsid w:val="00486E5F"/>
    <w:rsid w:val="0048769D"/>
    <w:rsid w:val="00491218"/>
    <w:rsid w:val="004957A3"/>
    <w:rsid w:val="004A0123"/>
    <w:rsid w:val="004B4080"/>
    <w:rsid w:val="004B4D47"/>
    <w:rsid w:val="004B6500"/>
    <w:rsid w:val="004B697F"/>
    <w:rsid w:val="004C73AA"/>
    <w:rsid w:val="004D6050"/>
    <w:rsid w:val="004D68CC"/>
    <w:rsid w:val="004D6AEC"/>
    <w:rsid w:val="004E115B"/>
    <w:rsid w:val="004E392C"/>
    <w:rsid w:val="004E677A"/>
    <w:rsid w:val="004F1E38"/>
    <w:rsid w:val="004F537F"/>
    <w:rsid w:val="004F7A94"/>
    <w:rsid w:val="00502694"/>
    <w:rsid w:val="00502DCD"/>
    <w:rsid w:val="005204EC"/>
    <w:rsid w:val="005270CA"/>
    <w:rsid w:val="005352AA"/>
    <w:rsid w:val="0053655B"/>
    <w:rsid w:val="00537F16"/>
    <w:rsid w:val="00542344"/>
    <w:rsid w:val="00543245"/>
    <w:rsid w:val="00552157"/>
    <w:rsid w:val="00567C69"/>
    <w:rsid w:val="00573F1A"/>
    <w:rsid w:val="00576330"/>
    <w:rsid w:val="00580A67"/>
    <w:rsid w:val="0058612D"/>
    <w:rsid w:val="00590E7F"/>
    <w:rsid w:val="00593595"/>
    <w:rsid w:val="005947FA"/>
    <w:rsid w:val="005A24DD"/>
    <w:rsid w:val="005A33B8"/>
    <w:rsid w:val="005A366C"/>
    <w:rsid w:val="005A687C"/>
    <w:rsid w:val="005B048D"/>
    <w:rsid w:val="005B345D"/>
    <w:rsid w:val="005B54C5"/>
    <w:rsid w:val="005C1C89"/>
    <w:rsid w:val="005C212D"/>
    <w:rsid w:val="005C5C74"/>
    <w:rsid w:val="005C76D2"/>
    <w:rsid w:val="005D126B"/>
    <w:rsid w:val="005D6710"/>
    <w:rsid w:val="005E798E"/>
    <w:rsid w:val="005F2BB4"/>
    <w:rsid w:val="005F51D1"/>
    <w:rsid w:val="00600D2B"/>
    <w:rsid w:val="00605842"/>
    <w:rsid w:val="00606143"/>
    <w:rsid w:val="00606D24"/>
    <w:rsid w:val="00617A16"/>
    <w:rsid w:val="00623ED4"/>
    <w:rsid w:val="00626CDC"/>
    <w:rsid w:val="00636BD4"/>
    <w:rsid w:val="00637554"/>
    <w:rsid w:val="006409B7"/>
    <w:rsid w:val="0064574A"/>
    <w:rsid w:val="006477BF"/>
    <w:rsid w:val="006533B6"/>
    <w:rsid w:val="00670FC8"/>
    <w:rsid w:val="00684AF0"/>
    <w:rsid w:val="00694B8A"/>
    <w:rsid w:val="00695BC1"/>
    <w:rsid w:val="006976B5"/>
    <w:rsid w:val="006A0A56"/>
    <w:rsid w:val="006A4601"/>
    <w:rsid w:val="006A4F34"/>
    <w:rsid w:val="006A5B9E"/>
    <w:rsid w:val="006B1374"/>
    <w:rsid w:val="006B372D"/>
    <w:rsid w:val="006B5B8A"/>
    <w:rsid w:val="006C6F7A"/>
    <w:rsid w:val="006E489B"/>
    <w:rsid w:val="006F1A9E"/>
    <w:rsid w:val="006F2A75"/>
    <w:rsid w:val="006F3821"/>
    <w:rsid w:val="0070049E"/>
    <w:rsid w:val="00701111"/>
    <w:rsid w:val="0071028C"/>
    <w:rsid w:val="007112C7"/>
    <w:rsid w:val="007146EF"/>
    <w:rsid w:val="00714C63"/>
    <w:rsid w:val="007150A7"/>
    <w:rsid w:val="00715CDF"/>
    <w:rsid w:val="007331A4"/>
    <w:rsid w:val="007364D1"/>
    <w:rsid w:val="00737579"/>
    <w:rsid w:val="00751483"/>
    <w:rsid w:val="00753656"/>
    <w:rsid w:val="00756385"/>
    <w:rsid w:val="00763A10"/>
    <w:rsid w:val="007653B6"/>
    <w:rsid w:val="00765E2E"/>
    <w:rsid w:val="00784862"/>
    <w:rsid w:val="00785A3F"/>
    <w:rsid w:val="007865E8"/>
    <w:rsid w:val="00797A87"/>
    <w:rsid w:val="00797B04"/>
    <w:rsid w:val="00797C36"/>
    <w:rsid w:val="007A04E2"/>
    <w:rsid w:val="007A0B2C"/>
    <w:rsid w:val="007A2548"/>
    <w:rsid w:val="007A5B71"/>
    <w:rsid w:val="007B06AD"/>
    <w:rsid w:val="007B2A38"/>
    <w:rsid w:val="007C0EDC"/>
    <w:rsid w:val="007C3D65"/>
    <w:rsid w:val="007C3D8A"/>
    <w:rsid w:val="007D038D"/>
    <w:rsid w:val="007D0609"/>
    <w:rsid w:val="007D654C"/>
    <w:rsid w:val="007D6C10"/>
    <w:rsid w:val="007E2BFE"/>
    <w:rsid w:val="007E2D82"/>
    <w:rsid w:val="007E3FEC"/>
    <w:rsid w:val="007E4421"/>
    <w:rsid w:val="007E7E31"/>
    <w:rsid w:val="007F75A8"/>
    <w:rsid w:val="00812E58"/>
    <w:rsid w:val="00847B72"/>
    <w:rsid w:val="008544E2"/>
    <w:rsid w:val="00856405"/>
    <w:rsid w:val="008657F5"/>
    <w:rsid w:val="00881058"/>
    <w:rsid w:val="00883DDB"/>
    <w:rsid w:val="008852B5"/>
    <w:rsid w:val="008A4E20"/>
    <w:rsid w:val="008C01EE"/>
    <w:rsid w:val="008C1429"/>
    <w:rsid w:val="008C245B"/>
    <w:rsid w:val="008D6CAB"/>
    <w:rsid w:val="008E0E1A"/>
    <w:rsid w:val="008E281B"/>
    <w:rsid w:val="008E530F"/>
    <w:rsid w:val="008F4A2E"/>
    <w:rsid w:val="00900600"/>
    <w:rsid w:val="00904970"/>
    <w:rsid w:val="00910A3B"/>
    <w:rsid w:val="00932DA4"/>
    <w:rsid w:val="009347D6"/>
    <w:rsid w:val="00944236"/>
    <w:rsid w:val="00944C95"/>
    <w:rsid w:val="00952912"/>
    <w:rsid w:val="00955641"/>
    <w:rsid w:val="00961606"/>
    <w:rsid w:val="009707C1"/>
    <w:rsid w:val="009710B9"/>
    <w:rsid w:val="00972353"/>
    <w:rsid w:val="009748E4"/>
    <w:rsid w:val="00977374"/>
    <w:rsid w:val="00983179"/>
    <w:rsid w:val="00984276"/>
    <w:rsid w:val="0098595A"/>
    <w:rsid w:val="00985C42"/>
    <w:rsid w:val="00991DFA"/>
    <w:rsid w:val="009A0223"/>
    <w:rsid w:val="009A06C2"/>
    <w:rsid w:val="009B57AB"/>
    <w:rsid w:val="009C5913"/>
    <w:rsid w:val="009C596E"/>
    <w:rsid w:val="009D34BA"/>
    <w:rsid w:val="009F1F9B"/>
    <w:rsid w:val="009F3253"/>
    <w:rsid w:val="009F73F6"/>
    <w:rsid w:val="00A026D7"/>
    <w:rsid w:val="00A02813"/>
    <w:rsid w:val="00A06C61"/>
    <w:rsid w:val="00A15344"/>
    <w:rsid w:val="00A15664"/>
    <w:rsid w:val="00A37F19"/>
    <w:rsid w:val="00A42873"/>
    <w:rsid w:val="00A43308"/>
    <w:rsid w:val="00A45123"/>
    <w:rsid w:val="00A45FB8"/>
    <w:rsid w:val="00A47042"/>
    <w:rsid w:val="00A52521"/>
    <w:rsid w:val="00A53D13"/>
    <w:rsid w:val="00A53D51"/>
    <w:rsid w:val="00A56E52"/>
    <w:rsid w:val="00A6125F"/>
    <w:rsid w:val="00A62400"/>
    <w:rsid w:val="00A671ED"/>
    <w:rsid w:val="00A676D8"/>
    <w:rsid w:val="00A71DC0"/>
    <w:rsid w:val="00A743EC"/>
    <w:rsid w:val="00A96094"/>
    <w:rsid w:val="00A97214"/>
    <w:rsid w:val="00AA1194"/>
    <w:rsid w:val="00AC07A0"/>
    <w:rsid w:val="00AC2D3C"/>
    <w:rsid w:val="00AC4193"/>
    <w:rsid w:val="00AC65E4"/>
    <w:rsid w:val="00AD3B5E"/>
    <w:rsid w:val="00AE19C7"/>
    <w:rsid w:val="00AE4C48"/>
    <w:rsid w:val="00AE55B8"/>
    <w:rsid w:val="00AE55D5"/>
    <w:rsid w:val="00AE5B0E"/>
    <w:rsid w:val="00AE6043"/>
    <w:rsid w:val="00AF25A2"/>
    <w:rsid w:val="00AF38AC"/>
    <w:rsid w:val="00AF58E3"/>
    <w:rsid w:val="00B074CC"/>
    <w:rsid w:val="00B15849"/>
    <w:rsid w:val="00B238E6"/>
    <w:rsid w:val="00B269E8"/>
    <w:rsid w:val="00B34E29"/>
    <w:rsid w:val="00B50231"/>
    <w:rsid w:val="00B55FC0"/>
    <w:rsid w:val="00B63A3B"/>
    <w:rsid w:val="00B73ED6"/>
    <w:rsid w:val="00B801E7"/>
    <w:rsid w:val="00B85EAE"/>
    <w:rsid w:val="00B90FF6"/>
    <w:rsid w:val="00B917EA"/>
    <w:rsid w:val="00B95AFA"/>
    <w:rsid w:val="00BA02F5"/>
    <w:rsid w:val="00BA0693"/>
    <w:rsid w:val="00BA3292"/>
    <w:rsid w:val="00BB1AE1"/>
    <w:rsid w:val="00BB5C74"/>
    <w:rsid w:val="00BB6D47"/>
    <w:rsid w:val="00BB7561"/>
    <w:rsid w:val="00BC3829"/>
    <w:rsid w:val="00BC3A18"/>
    <w:rsid w:val="00BC65FD"/>
    <w:rsid w:val="00BD35DE"/>
    <w:rsid w:val="00BD61E3"/>
    <w:rsid w:val="00BD6446"/>
    <w:rsid w:val="00BF6FED"/>
    <w:rsid w:val="00BF7090"/>
    <w:rsid w:val="00C003A3"/>
    <w:rsid w:val="00C016A4"/>
    <w:rsid w:val="00C02D5A"/>
    <w:rsid w:val="00C03945"/>
    <w:rsid w:val="00C05CD8"/>
    <w:rsid w:val="00C076CE"/>
    <w:rsid w:val="00C36EB6"/>
    <w:rsid w:val="00C43CCF"/>
    <w:rsid w:val="00C631A0"/>
    <w:rsid w:val="00C6445F"/>
    <w:rsid w:val="00C656E7"/>
    <w:rsid w:val="00C844F8"/>
    <w:rsid w:val="00C904CD"/>
    <w:rsid w:val="00C9561E"/>
    <w:rsid w:val="00CA36A7"/>
    <w:rsid w:val="00CA5981"/>
    <w:rsid w:val="00CB0F0F"/>
    <w:rsid w:val="00CB1412"/>
    <w:rsid w:val="00CC2D91"/>
    <w:rsid w:val="00CC4308"/>
    <w:rsid w:val="00CD2D41"/>
    <w:rsid w:val="00CD5E9D"/>
    <w:rsid w:val="00CD71D3"/>
    <w:rsid w:val="00CE3D2B"/>
    <w:rsid w:val="00CE710A"/>
    <w:rsid w:val="00CF2332"/>
    <w:rsid w:val="00CF7EB6"/>
    <w:rsid w:val="00D00F28"/>
    <w:rsid w:val="00D202CD"/>
    <w:rsid w:val="00D20BCC"/>
    <w:rsid w:val="00D312C1"/>
    <w:rsid w:val="00D3476D"/>
    <w:rsid w:val="00D4267C"/>
    <w:rsid w:val="00D549D8"/>
    <w:rsid w:val="00D57B33"/>
    <w:rsid w:val="00D61147"/>
    <w:rsid w:val="00D61728"/>
    <w:rsid w:val="00D6218A"/>
    <w:rsid w:val="00D626DF"/>
    <w:rsid w:val="00D63E7E"/>
    <w:rsid w:val="00D767D5"/>
    <w:rsid w:val="00D7776B"/>
    <w:rsid w:val="00D80B5F"/>
    <w:rsid w:val="00D81353"/>
    <w:rsid w:val="00D81D95"/>
    <w:rsid w:val="00D854F2"/>
    <w:rsid w:val="00D96ADF"/>
    <w:rsid w:val="00DA17EC"/>
    <w:rsid w:val="00DA2537"/>
    <w:rsid w:val="00DA4069"/>
    <w:rsid w:val="00DB001C"/>
    <w:rsid w:val="00DB48A4"/>
    <w:rsid w:val="00DB4F54"/>
    <w:rsid w:val="00DC0894"/>
    <w:rsid w:val="00DC4CBA"/>
    <w:rsid w:val="00DD44ED"/>
    <w:rsid w:val="00DE23B7"/>
    <w:rsid w:val="00DE37AF"/>
    <w:rsid w:val="00DF5CBC"/>
    <w:rsid w:val="00DF7239"/>
    <w:rsid w:val="00E00F68"/>
    <w:rsid w:val="00E048E5"/>
    <w:rsid w:val="00E06018"/>
    <w:rsid w:val="00E06EF8"/>
    <w:rsid w:val="00E070E2"/>
    <w:rsid w:val="00E07969"/>
    <w:rsid w:val="00E10248"/>
    <w:rsid w:val="00E113FC"/>
    <w:rsid w:val="00E11C81"/>
    <w:rsid w:val="00E11FED"/>
    <w:rsid w:val="00E13EE3"/>
    <w:rsid w:val="00E24325"/>
    <w:rsid w:val="00E249CD"/>
    <w:rsid w:val="00E262B8"/>
    <w:rsid w:val="00E30676"/>
    <w:rsid w:val="00E36608"/>
    <w:rsid w:val="00E404FB"/>
    <w:rsid w:val="00E4254C"/>
    <w:rsid w:val="00E431C1"/>
    <w:rsid w:val="00E46494"/>
    <w:rsid w:val="00E470FD"/>
    <w:rsid w:val="00E50075"/>
    <w:rsid w:val="00E5634A"/>
    <w:rsid w:val="00E6177F"/>
    <w:rsid w:val="00E677F2"/>
    <w:rsid w:val="00E72B69"/>
    <w:rsid w:val="00E77440"/>
    <w:rsid w:val="00E80FD7"/>
    <w:rsid w:val="00E83B02"/>
    <w:rsid w:val="00E84705"/>
    <w:rsid w:val="00E95DA7"/>
    <w:rsid w:val="00E96366"/>
    <w:rsid w:val="00E97267"/>
    <w:rsid w:val="00EA02DC"/>
    <w:rsid w:val="00EB2701"/>
    <w:rsid w:val="00EB3318"/>
    <w:rsid w:val="00EB44AF"/>
    <w:rsid w:val="00EB4592"/>
    <w:rsid w:val="00EC2EC1"/>
    <w:rsid w:val="00ED4E38"/>
    <w:rsid w:val="00ED7818"/>
    <w:rsid w:val="00EE092E"/>
    <w:rsid w:val="00EE11DA"/>
    <w:rsid w:val="00EE7CA2"/>
    <w:rsid w:val="00EF02EE"/>
    <w:rsid w:val="00EF0C3F"/>
    <w:rsid w:val="00EF65E2"/>
    <w:rsid w:val="00F0711F"/>
    <w:rsid w:val="00F214B1"/>
    <w:rsid w:val="00F24374"/>
    <w:rsid w:val="00F25FC1"/>
    <w:rsid w:val="00F32085"/>
    <w:rsid w:val="00F36701"/>
    <w:rsid w:val="00F45276"/>
    <w:rsid w:val="00F47B67"/>
    <w:rsid w:val="00F61024"/>
    <w:rsid w:val="00F61CE2"/>
    <w:rsid w:val="00F6377B"/>
    <w:rsid w:val="00F65C9E"/>
    <w:rsid w:val="00F66B81"/>
    <w:rsid w:val="00F742D0"/>
    <w:rsid w:val="00F769EE"/>
    <w:rsid w:val="00F856D7"/>
    <w:rsid w:val="00F87125"/>
    <w:rsid w:val="00F87FCE"/>
    <w:rsid w:val="00F90F13"/>
    <w:rsid w:val="00F9323E"/>
    <w:rsid w:val="00FA0757"/>
    <w:rsid w:val="00FA21F8"/>
    <w:rsid w:val="00FA3F1E"/>
    <w:rsid w:val="00FA4BE0"/>
    <w:rsid w:val="00FB3232"/>
    <w:rsid w:val="00FB5A5F"/>
    <w:rsid w:val="00FC245E"/>
    <w:rsid w:val="00FC3E21"/>
    <w:rsid w:val="00FC61E0"/>
    <w:rsid w:val="00FCF582"/>
    <w:rsid w:val="00FD03EF"/>
    <w:rsid w:val="00FD30D0"/>
    <w:rsid w:val="00FD3D29"/>
    <w:rsid w:val="00FD6668"/>
    <w:rsid w:val="00FD6D81"/>
    <w:rsid w:val="00FE208F"/>
    <w:rsid w:val="00FE7690"/>
    <w:rsid w:val="00FF0E5A"/>
    <w:rsid w:val="00FF294E"/>
    <w:rsid w:val="00FF7B3A"/>
    <w:rsid w:val="0113FFC7"/>
    <w:rsid w:val="014A5EF4"/>
    <w:rsid w:val="02918CDF"/>
    <w:rsid w:val="0333B64A"/>
    <w:rsid w:val="03E9E902"/>
    <w:rsid w:val="03F07885"/>
    <w:rsid w:val="03F1A0A1"/>
    <w:rsid w:val="057CD044"/>
    <w:rsid w:val="05DA5792"/>
    <w:rsid w:val="05E63AEC"/>
    <w:rsid w:val="06087E6A"/>
    <w:rsid w:val="0701F691"/>
    <w:rsid w:val="0810757B"/>
    <w:rsid w:val="08DC2800"/>
    <w:rsid w:val="08DCAC52"/>
    <w:rsid w:val="09BF613F"/>
    <w:rsid w:val="0A32DDF8"/>
    <w:rsid w:val="0A592A86"/>
    <w:rsid w:val="0B242EC2"/>
    <w:rsid w:val="0B44F787"/>
    <w:rsid w:val="0C1F46C8"/>
    <w:rsid w:val="0CC7A7F7"/>
    <w:rsid w:val="0DE3F710"/>
    <w:rsid w:val="0E0CEA9F"/>
    <w:rsid w:val="0F09289B"/>
    <w:rsid w:val="0F56E78A"/>
    <w:rsid w:val="0F803459"/>
    <w:rsid w:val="1070D883"/>
    <w:rsid w:val="10B4ABE1"/>
    <w:rsid w:val="10CE95DA"/>
    <w:rsid w:val="10DB7D07"/>
    <w:rsid w:val="1178223D"/>
    <w:rsid w:val="11A2B2DF"/>
    <w:rsid w:val="12BB74E8"/>
    <w:rsid w:val="12E2F0B1"/>
    <w:rsid w:val="13AB2B26"/>
    <w:rsid w:val="14DAC892"/>
    <w:rsid w:val="14ED97FB"/>
    <w:rsid w:val="1502007B"/>
    <w:rsid w:val="15EEEA77"/>
    <w:rsid w:val="16DA245D"/>
    <w:rsid w:val="16FAD538"/>
    <w:rsid w:val="173BE5A9"/>
    <w:rsid w:val="17C43574"/>
    <w:rsid w:val="17D44A0B"/>
    <w:rsid w:val="18F6E667"/>
    <w:rsid w:val="19CF62F0"/>
    <w:rsid w:val="1A1000C9"/>
    <w:rsid w:val="1B80E809"/>
    <w:rsid w:val="1B83FEBB"/>
    <w:rsid w:val="1BF30BA6"/>
    <w:rsid w:val="1E7FEDAE"/>
    <w:rsid w:val="216F9933"/>
    <w:rsid w:val="21C88E33"/>
    <w:rsid w:val="24EA9368"/>
    <w:rsid w:val="275BE8AE"/>
    <w:rsid w:val="27A8CC2F"/>
    <w:rsid w:val="2899FBB8"/>
    <w:rsid w:val="28ADBB6E"/>
    <w:rsid w:val="28CD36AD"/>
    <w:rsid w:val="2A873FA2"/>
    <w:rsid w:val="2AC7630B"/>
    <w:rsid w:val="2C1B25F5"/>
    <w:rsid w:val="2D2EEC92"/>
    <w:rsid w:val="2E73D6CC"/>
    <w:rsid w:val="2E84E8ED"/>
    <w:rsid w:val="2F543637"/>
    <w:rsid w:val="2F7D61D9"/>
    <w:rsid w:val="2FE06993"/>
    <w:rsid w:val="301A5576"/>
    <w:rsid w:val="307A1ADA"/>
    <w:rsid w:val="31E59B97"/>
    <w:rsid w:val="325BD61A"/>
    <w:rsid w:val="327D63FC"/>
    <w:rsid w:val="32D4FA0D"/>
    <w:rsid w:val="33590CAB"/>
    <w:rsid w:val="3448F89F"/>
    <w:rsid w:val="35035522"/>
    <w:rsid w:val="36D8E3C0"/>
    <w:rsid w:val="38332C2D"/>
    <w:rsid w:val="39060994"/>
    <w:rsid w:val="3950DA8F"/>
    <w:rsid w:val="3AAEC2EB"/>
    <w:rsid w:val="3ADB8079"/>
    <w:rsid w:val="3AF65625"/>
    <w:rsid w:val="3B0839AA"/>
    <w:rsid w:val="3BB6BC2C"/>
    <w:rsid w:val="3BC1E19A"/>
    <w:rsid w:val="3BED60B8"/>
    <w:rsid w:val="3C06B2DA"/>
    <w:rsid w:val="3C9F8BE2"/>
    <w:rsid w:val="3CF6EB3D"/>
    <w:rsid w:val="3D201831"/>
    <w:rsid w:val="3D76E04A"/>
    <w:rsid w:val="3E7DDEBA"/>
    <w:rsid w:val="3EEB3986"/>
    <w:rsid w:val="3F25BD9F"/>
    <w:rsid w:val="3F969121"/>
    <w:rsid w:val="4041152E"/>
    <w:rsid w:val="40CCEE6D"/>
    <w:rsid w:val="40DB85BE"/>
    <w:rsid w:val="420FEB8F"/>
    <w:rsid w:val="43AD865A"/>
    <w:rsid w:val="43F91D12"/>
    <w:rsid w:val="462AD2BF"/>
    <w:rsid w:val="475D78FB"/>
    <w:rsid w:val="4900F9F0"/>
    <w:rsid w:val="4961C358"/>
    <w:rsid w:val="49878F9E"/>
    <w:rsid w:val="49A72CEE"/>
    <w:rsid w:val="4A33294E"/>
    <w:rsid w:val="4BF7C788"/>
    <w:rsid w:val="4C886B97"/>
    <w:rsid w:val="4FD89402"/>
    <w:rsid w:val="50792A32"/>
    <w:rsid w:val="50E98B0C"/>
    <w:rsid w:val="523D129D"/>
    <w:rsid w:val="533149AC"/>
    <w:rsid w:val="53D11714"/>
    <w:rsid w:val="54B2D461"/>
    <w:rsid w:val="55329F3F"/>
    <w:rsid w:val="55844B96"/>
    <w:rsid w:val="5613A880"/>
    <w:rsid w:val="575AC87B"/>
    <w:rsid w:val="59E28DC2"/>
    <w:rsid w:val="5B2DB123"/>
    <w:rsid w:val="5B886000"/>
    <w:rsid w:val="5C925D97"/>
    <w:rsid w:val="5DA37ED9"/>
    <w:rsid w:val="5EE0EDC5"/>
    <w:rsid w:val="5F648ED0"/>
    <w:rsid w:val="619BC9D8"/>
    <w:rsid w:val="627A9635"/>
    <w:rsid w:val="62CACCFE"/>
    <w:rsid w:val="64068C85"/>
    <w:rsid w:val="64C35207"/>
    <w:rsid w:val="653D678F"/>
    <w:rsid w:val="65ADE65C"/>
    <w:rsid w:val="6669F290"/>
    <w:rsid w:val="669F41F9"/>
    <w:rsid w:val="67067D06"/>
    <w:rsid w:val="67320064"/>
    <w:rsid w:val="67D61CE6"/>
    <w:rsid w:val="68397CDD"/>
    <w:rsid w:val="6930AFF1"/>
    <w:rsid w:val="6961AC24"/>
    <w:rsid w:val="69796770"/>
    <w:rsid w:val="69A3533F"/>
    <w:rsid w:val="69C4FDED"/>
    <w:rsid w:val="6A394687"/>
    <w:rsid w:val="6B2F500A"/>
    <w:rsid w:val="6B4B6F7B"/>
    <w:rsid w:val="6DDBB91C"/>
    <w:rsid w:val="6EED84AB"/>
    <w:rsid w:val="6FACA6FA"/>
    <w:rsid w:val="703AD3E9"/>
    <w:rsid w:val="71123262"/>
    <w:rsid w:val="71F19C26"/>
    <w:rsid w:val="72D10CE7"/>
    <w:rsid w:val="749B24D2"/>
    <w:rsid w:val="7586FA3F"/>
    <w:rsid w:val="75A7962D"/>
    <w:rsid w:val="76AE2C84"/>
    <w:rsid w:val="76D20961"/>
    <w:rsid w:val="7A612462"/>
    <w:rsid w:val="7A8EF977"/>
    <w:rsid w:val="7D0DC013"/>
    <w:rsid w:val="7D54D570"/>
    <w:rsid w:val="7D8EF899"/>
    <w:rsid w:val="7DA379CC"/>
    <w:rsid w:val="7E2064BA"/>
    <w:rsid w:val="7E9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F728"/>
  <w15:chartTrackingRefBased/>
  <w15:docId w15:val="{06A52CAF-CC21-4E70-AB00-D6376F34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091D"/>
    <w:pPr>
      <w:keepNext/>
      <w:keepLines/>
      <w:numPr>
        <w:numId w:val="16"/>
      </w:numPr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1111"/>
    <w:pPr>
      <w:keepNext/>
      <w:keepLines/>
      <w:spacing w:before="160" w:after="120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091D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3655B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3655B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3655B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3655B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3655B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3655B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0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E06018"/>
  </w:style>
  <w:style w:type="character" w:customStyle="1" w:styleId="normaltextrun">
    <w:name w:val="normaltextrun"/>
    <w:basedOn w:val="Standardskriftforavsnitt"/>
    <w:rsid w:val="00E06018"/>
  </w:style>
  <w:style w:type="character" w:customStyle="1" w:styleId="Overskrift1Tegn">
    <w:name w:val="Overskrift 1 Tegn"/>
    <w:basedOn w:val="Standardskriftforavsnitt"/>
    <w:link w:val="Overskrift1"/>
    <w:uiPriority w:val="9"/>
    <w:rsid w:val="002E0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400A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726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BA3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2E09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E091D"/>
    <w:p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2E091D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2E091D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235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723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7235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7235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723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72353"/>
    <w:rPr>
      <w:b/>
      <w:bCs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365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3655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3655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3655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365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365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jon">
    <w:name w:val="Revision"/>
    <w:hidden/>
    <w:uiPriority w:val="99"/>
    <w:semiHidden/>
    <w:rsid w:val="00ED4E38"/>
    <w:pPr>
      <w:spacing w:after="0" w:line="240" w:lineRule="auto"/>
    </w:pPr>
  </w:style>
  <w:style w:type="character" w:customStyle="1" w:styleId="scxw177350196">
    <w:name w:val="scxw177350196"/>
    <w:basedOn w:val="Standardskriftforavsnitt"/>
    <w:rsid w:val="00812E58"/>
  </w:style>
  <w:style w:type="paragraph" w:styleId="Topptekst">
    <w:name w:val="header"/>
    <w:basedOn w:val="Normal"/>
    <w:link w:val="TopptekstTegn"/>
    <w:unhideWhenUsed/>
    <w:qFormat/>
    <w:rsid w:val="0000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004226"/>
  </w:style>
  <w:style w:type="paragraph" w:styleId="Bunntekst">
    <w:name w:val="footer"/>
    <w:basedOn w:val="Normal"/>
    <w:link w:val="BunntekstTegn"/>
    <w:uiPriority w:val="99"/>
    <w:unhideWhenUsed/>
    <w:rsid w:val="0000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4226"/>
  </w:style>
  <w:style w:type="paragraph" w:styleId="INNH2">
    <w:name w:val="toc 2"/>
    <w:basedOn w:val="Normal"/>
    <w:next w:val="Normal"/>
    <w:autoRedefine/>
    <w:uiPriority w:val="39"/>
    <w:unhideWhenUsed/>
    <w:rsid w:val="009B57A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B57AB"/>
    <w:pPr>
      <w:spacing w:after="100"/>
      <w:ind w:left="440"/>
    </w:pPr>
  </w:style>
  <w:style w:type="character" w:styleId="Sterk">
    <w:name w:val="Strong"/>
    <w:basedOn w:val="Standardskriftforavsnitt"/>
    <w:uiPriority w:val="22"/>
    <w:qFormat/>
    <w:rsid w:val="00182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4844241F15CA4E83C7E3DD53349F9E" ma:contentTypeVersion="11" ma:contentTypeDescription="Opprett et nytt dokument." ma:contentTypeScope="" ma:versionID="37155fe0a1b9d12be6a28908ce750405">
  <xsd:schema xmlns:xsd="http://www.w3.org/2001/XMLSchema" xmlns:xs="http://www.w3.org/2001/XMLSchema" xmlns:p="http://schemas.microsoft.com/office/2006/metadata/properties" xmlns:ns2="47bbf3df-4b26-484d-98e7-1b7442de6e8c" xmlns:ns3="72e54573-a217-455d-aa9f-5ac3b34de925" targetNamespace="http://schemas.microsoft.com/office/2006/metadata/properties" ma:root="true" ma:fieldsID="1ba0a2ba5dd88ccea606bc2342b3a1ad" ns2:_="" ns3:_="">
    <xsd:import namespace="47bbf3df-4b26-484d-98e7-1b7442de6e8c"/>
    <xsd:import namespace="72e54573-a217-455d-aa9f-5ac3b34de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bf3df-4b26-484d-98e7-1b7442de6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54573-a217-455d-aa9f-5ac3b34de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62343-3E57-4296-86F3-62E3BF87B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bf3df-4b26-484d-98e7-1b7442de6e8c"/>
    <ds:schemaRef ds:uri="72e54573-a217-455d-aa9f-5ac3b34de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4E331-8F3B-4A33-A805-B67178B11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14F9D-AE9E-4779-AAA0-946DD7120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AC415E-B9BA-4453-9FBE-A2182025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SSA-L Avtale om levering av FM system_Bilag 3 Plan for etableringsfasen</dc:title>
  <dc:subject/>
  <dc:creator>Inger</dc:creator>
  <cp:keywords/>
  <dc:description/>
  <cp:lastModifiedBy>Brobakke, Maj-Britt</cp:lastModifiedBy>
  <cp:revision>2</cp:revision>
  <dcterms:created xsi:type="dcterms:W3CDTF">2021-05-12T06:30:00Z</dcterms:created>
  <dcterms:modified xsi:type="dcterms:W3CDTF">2021-05-12T06:30:00Z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0x010100C54844241F15CA4E83C7E3DD53349F9E</vt:lpwstr>
  </property>
</Properties>
</file>