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60" w:rsidRPr="005F45EE" w:rsidRDefault="00EE5B4E" w:rsidP="005901AA">
      <w:pPr>
        <w:rPr>
          <w:b/>
          <w:sz w:val="36"/>
          <w:szCs w:val="36"/>
        </w:rPr>
      </w:pPr>
      <w:r w:rsidRPr="005F45EE">
        <w:rPr>
          <w:b/>
          <w:sz w:val="36"/>
          <w:szCs w:val="36"/>
        </w:rPr>
        <w:t>Bilag</w:t>
      </w:r>
      <w:r w:rsidR="00A56660" w:rsidRPr="005F45EE">
        <w:rPr>
          <w:b/>
          <w:sz w:val="36"/>
          <w:szCs w:val="36"/>
        </w:rPr>
        <w:t xml:space="preserve"> 6</w:t>
      </w:r>
      <w:r w:rsidRPr="005F45EE">
        <w:rPr>
          <w:b/>
          <w:sz w:val="36"/>
          <w:szCs w:val="36"/>
        </w:rPr>
        <w:t>:</w:t>
      </w:r>
      <w:r w:rsidR="00A56660" w:rsidRPr="005F45EE">
        <w:rPr>
          <w:b/>
          <w:sz w:val="36"/>
          <w:szCs w:val="36"/>
        </w:rPr>
        <w:t xml:space="preserve"> Elektronisk samhandling </w:t>
      </w:r>
    </w:p>
    <w:p w:rsidR="005901AA" w:rsidRPr="005F45EE" w:rsidRDefault="00A56660" w:rsidP="005901AA">
      <w:pPr>
        <w:pStyle w:val="Overskrift1"/>
        <w:rPr>
          <w:sz w:val="28"/>
          <w:szCs w:val="28"/>
        </w:rPr>
      </w:pPr>
      <w:r w:rsidRPr="005F45EE">
        <w:rPr>
          <w:sz w:val="28"/>
          <w:szCs w:val="28"/>
        </w:rPr>
        <w:t xml:space="preserve">Generelt </w:t>
      </w:r>
    </w:p>
    <w:p w:rsidR="005901AA" w:rsidRPr="005901AA" w:rsidRDefault="005901AA" w:rsidP="005901AA">
      <w:r>
        <w:t>Vedlegget</w:t>
      </w:r>
      <w:r w:rsidRPr="005901AA">
        <w:t xml:space="preserve"> gjelder for gjennomføring av partenes elektroniske samhandling og har til hensikt å avstemme partenes gjensidige forventninger, og sikre en god fremdrift på implementeringen av e-handelsløsningen. </w:t>
      </w:r>
    </w:p>
    <w:p w:rsidR="005901AA" w:rsidRDefault="005901AA" w:rsidP="005901AA">
      <w:r>
        <w:t>Dette dokumentet gjelder for følgende faser i anskaffelsesprosessen:</w:t>
      </w:r>
    </w:p>
    <w:p w:rsidR="005901AA" w:rsidRPr="005901AA" w:rsidRDefault="005901AA" w:rsidP="005901AA">
      <w:pPr>
        <w:rPr>
          <w:b/>
        </w:rPr>
      </w:pPr>
      <w:r w:rsidRPr="005901AA">
        <w:rPr>
          <w:b/>
        </w:rPr>
        <w:t>Produktkatalog</w:t>
      </w:r>
      <w:r w:rsidRPr="005901AA">
        <w:rPr>
          <w:b/>
        </w:rPr>
        <w:tab/>
      </w:r>
    </w:p>
    <w:p w:rsidR="005901AA" w:rsidRPr="005901AA" w:rsidRDefault="005901AA" w:rsidP="005901AA">
      <w:pPr>
        <w:rPr>
          <w:b/>
        </w:rPr>
      </w:pPr>
      <w:r w:rsidRPr="005901AA">
        <w:rPr>
          <w:b/>
        </w:rPr>
        <w:t>Bestilling</w:t>
      </w:r>
      <w:r w:rsidRPr="005901AA">
        <w:rPr>
          <w:b/>
        </w:rPr>
        <w:tab/>
      </w:r>
    </w:p>
    <w:p w:rsidR="005901AA" w:rsidRPr="005901AA" w:rsidRDefault="005901AA" w:rsidP="005901AA">
      <w:pPr>
        <w:rPr>
          <w:b/>
        </w:rPr>
      </w:pPr>
      <w:r w:rsidRPr="005901AA">
        <w:rPr>
          <w:b/>
        </w:rPr>
        <w:t>Forsendelse og varemottak</w:t>
      </w:r>
      <w:r w:rsidRPr="005901AA">
        <w:rPr>
          <w:b/>
        </w:rPr>
        <w:tab/>
      </w:r>
    </w:p>
    <w:p w:rsidR="005901AA" w:rsidRPr="005901AA" w:rsidRDefault="005901AA" w:rsidP="005901AA">
      <w:pPr>
        <w:rPr>
          <w:b/>
        </w:rPr>
      </w:pPr>
      <w:r w:rsidRPr="005901AA">
        <w:rPr>
          <w:b/>
        </w:rPr>
        <w:t>Fakturering</w:t>
      </w:r>
      <w:r w:rsidRPr="005901AA">
        <w:rPr>
          <w:b/>
        </w:rPr>
        <w:tab/>
      </w:r>
    </w:p>
    <w:p w:rsidR="005901AA" w:rsidRDefault="005901AA" w:rsidP="005901AA">
      <w:r>
        <w:t xml:space="preserve">Partene er innforstått med at avtalen setter krav til de tjenester og tekniske e-handelsløsninger de er forpliktet til å etablere, inklusive tjenester og tekniske e-handelsløsninger anskaffet fra tredjepart, herunder operatøren av plattformen på http://anskaffelser.no/e-handel. </w:t>
      </w:r>
    </w:p>
    <w:p w:rsidR="005901AA" w:rsidRDefault="005901AA" w:rsidP="005901AA">
      <w:r>
        <w:t xml:space="preserve">Ved manglende oppfølgning eller mislighold vil sanksjonene i avtalens generelle del gjøres gjeldende. </w:t>
      </w:r>
    </w:p>
    <w:p w:rsidR="005901AA" w:rsidRDefault="005901AA" w:rsidP="005901AA">
      <w:r>
        <w:t xml:space="preserve">Partene skal tilrettelegge sine tekniske løsninger, rutiner og organisasjon – inklusive nødvendige avtaleforhold med eventuell operatør av løsningsplattform - slik at elektronisk samhandling i henhold til beskrivelsene i dette dokument kan skje </w:t>
      </w:r>
      <w:r w:rsidR="00A24F34">
        <w:t xml:space="preserve">fra avtalestart. </w:t>
      </w:r>
    </w:p>
    <w:p w:rsidR="005901AA" w:rsidRDefault="005901AA" w:rsidP="005901AA">
      <w:r>
        <w:t>Oppstartdato for elektronisk samhandling er</w:t>
      </w:r>
      <w:r w:rsidR="00A24F34">
        <w:t xml:space="preserve"> ved avtalestart. </w:t>
      </w:r>
    </w:p>
    <w:p w:rsidR="005901AA" w:rsidRDefault="005901AA" w:rsidP="005901AA">
      <w:r>
        <w:t xml:space="preserve">Partene har en aktiv opplysningsplikt om forhold som vedrører tilgjengelighet av de tjenester og tekniske løsninger som partene etablerer etter denne avtalen og som påvirker partenes mulighet til å gjennomføre elektronisk samhandling. </w:t>
      </w:r>
    </w:p>
    <w:p w:rsidR="005901AA" w:rsidRDefault="005901AA" w:rsidP="005901AA">
      <w:r>
        <w:t>Dersom en part forårsaker at det ikke er mulig å gjennomføre elektronis</w:t>
      </w:r>
      <w:r w:rsidR="00A24F34">
        <w:t>k samhandling i en periode på to</w:t>
      </w:r>
      <w:r>
        <w:t xml:space="preserve"> uker og dette ikke er avtalt på forhånd, betraktes avtalen som misligholdt.</w:t>
      </w:r>
    </w:p>
    <w:p w:rsidR="005901AA" w:rsidRPr="005F45EE" w:rsidRDefault="005901AA" w:rsidP="005901AA">
      <w:pPr>
        <w:pStyle w:val="Overskrift1"/>
        <w:rPr>
          <w:sz w:val="28"/>
          <w:szCs w:val="28"/>
        </w:rPr>
      </w:pPr>
      <w:r w:rsidRPr="005F45EE">
        <w:rPr>
          <w:sz w:val="28"/>
          <w:szCs w:val="28"/>
        </w:rPr>
        <w:t xml:space="preserve">Meldingsutveksling </w:t>
      </w:r>
    </w:p>
    <w:p w:rsidR="005901AA" w:rsidRDefault="005901AA" w:rsidP="005901AA">
      <w:r>
        <w:t>Med mindre annet er eksplisitt avtalt skal all utveksling av elektroniske meldinger mellom partene gjøres i henhold til gjeldene EHF formater og formidles til mottaker over PEPPOL definerte komponenter og transportinfrastruktur (</w:t>
      </w:r>
      <w:hyperlink r:id="rId6">
        <w:r>
          <w:rPr>
            <w:rStyle w:val="InternetLink"/>
          </w:rPr>
          <w:t>http://www.peppol.eu/peppol_components</w:t>
        </w:r>
      </w:hyperlink>
      <w:r>
        <w:t>).</w:t>
      </w:r>
    </w:p>
    <w:p w:rsidR="005901AA" w:rsidRDefault="005901AA" w:rsidP="005901AA">
      <w:r>
        <w:lastRenderedPageBreak/>
        <w:t>Bruk av PEPPOL transportinfrastruktur forutsetter at partner er registrert i ELMA eller annen PEPPOL SMP, og at elektroniske meldinger leveres til den adresse som er angitt i PEPPOL SML.</w:t>
      </w:r>
    </w:p>
    <w:p w:rsidR="005901AA" w:rsidRPr="005901AA" w:rsidRDefault="005901AA" w:rsidP="005901AA">
      <w:pPr>
        <w:pStyle w:val="Overskrift2"/>
      </w:pPr>
      <w:r w:rsidRPr="005901AA">
        <w:t>Alternative transportkanaler</w:t>
      </w:r>
    </w:p>
    <w:tbl>
      <w:tblPr>
        <w:tblW w:w="0" w:type="auto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6"/>
        <w:gridCol w:w="3831"/>
      </w:tblGrid>
      <w:tr w:rsidR="005901AA" w:rsidTr="002E3DF6"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120" w:after="120"/>
            </w:pPr>
            <w:r>
              <w:rPr>
                <w:sz w:val="20"/>
              </w:rPr>
              <w:t>Følgende alternativ(e) transportkanal(er) er avtalt bruk for utveksling av elektroniske meldinger i stedet for PEPPOL transportinfrastruktur.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120" w:after="120"/>
            </w:pPr>
          </w:p>
        </w:tc>
      </w:tr>
    </w:tbl>
    <w:p w:rsidR="005901AA" w:rsidRDefault="005901AA" w:rsidP="005901AA">
      <w:pPr>
        <w:pStyle w:val="Overskrift2"/>
      </w:pPr>
      <w:r>
        <w:t xml:space="preserve">Alternative meldingsformater </w:t>
      </w:r>
    </w:p>
    <w:tbl>
      <w:tblPr>
        <w:tblW w:w="0" w:type="auto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6"/>
        <w:gridCol w:w="3831"/>
      </w:tblGrid>
      <w:tr w:rsidR="005901AA" w:rsidTr="002E3DF6"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 xml:space="preserve">Følgende alternative meldingsformat(er) er avtalt bruk for utveksling av elektronisk meldinger i stedet for EHF. 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120" w:after="120"/>
            </w:pPr>
          </w:p>
        </w:tc>
      </w:tr>
    </w:tbl>
    <w:p w:rsidR="005901AA" w:rsidRDefault="005901AA" w:rsidP="005901AA"/>
    <w:p w:rsidR="005901AA" w:rsidRDefault="005901AA" w:rsidP="005901AA">
      <w:pPr>
        <w:pStyle w:val="Overskrift2"/>
      </w:pPr>
      <w:r>
        <w:t>Informasjonsverdier i elektroniske meldinger</w:t>
      </w:r>
    </w:p>
    <w:p w:rsidR="005901AA" w:rsidRDefault="005901AA" w:rsidP="005901AA">
      <w:r>
        <w:t>Avtalepartene er enig om at følgende verdier skal benyttes i de elektroniske meldinger som utveksles:</w:t>
      </w:r>
    </w:p>
    <w:tbl>
      <w:tblPr>
        <w:tblW w:w="0" w:type="auto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23"/>
        <w:gridCol w:w="2106"/>
        <w:gridCol w:w="3818"/>
      </w:tblGrid>
      <w:tr w:rsidR="005901AA" w:rsidTr="005901AA">
        <w:trPr>
          <w:cantSplit/>
          <w:trHeight w:val="355"/>
        </w:trPr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20" w:after="20"/>
            </w:pP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20" w:after="20"/>
              <w:jc w:val="center"/>
            </w:pPr>
            <w:r>
              <w:rPr>
                <w:sz w:val="20"/>
              </w:rPr>
              <w:t>Type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20" w:after="20"/>
              <w:jc w:val="center"/>
            </w:pPr>
            <w:r>
              <w:rPr>
                <w:sz w:val="20"/>
              </w:rPr>
              <w:t>Kommentar / Referanse / Eksempel</w:t>
            </w:r>
          </w:p>
        </w:tc>
      </w:tr>
      <w:tr w:rsidR="005901AA" w:rsidTr="002E3DF6">
        <w:trPr>
          <w:cantSplit/>
          <w:trHeight w:val="548"/>
        </w:trPr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20" w:after="20"/>
            </w:pPr>
            <w:r>
              <w:rPr>
                <w:sz w:val="20"/>
              </w:rPr>
              <w:t xml:space="preserve">Identifikasjon av kunde 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  <w:r>
              <w:t>Org.nr/TPID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</w:p>
        </w:tc>
      </w:tr>
      <w:tr w:rsidR="005901AA" w:rsidTr="002E3DF6">
        <w:trPr>
          <w:cantSplit/>
          <w:trHeight w:val="548"/>
        </w:trPr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20" w:after="20"/>
            </w:pPr>
            <w:r>
              <w:rPr>
                <w:sz w:val="20"/>
              </w:rPr>
              <w:t xml:space="preserve">Identifikasjon av kundeadresse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  <w:r>
              <w:t>Postadresse/GLN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</w:p>
        </w:tc>
      </w:tr>
      <w:tr w:rsidR="005901AA" w:rsidTr="002E3DF6">
        <w:trPr>
          <w:cantSplit/>
          <w:trHeight w:val="548"/>
        </w:trPr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20" w:after="20"/>
            </w:pPr>
            <w:r>
              <w:rPr>
                <w:sz w:val="20"/>
              </w:rPr>
              <w:t xml:space="preserve">Identifikasjon av varer og tjenester 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  <w:r>
              <w:t>Leverandørens artikkelnummer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</w:p>
        </w:tc>
      </w:tr>
      <w:tr w:rsidR="005901AA" w:rsidTr="002E3DF6">
        <w:trPr>
          <w:cantSplit/>
          <w:trHeight w:val="548"/>
        </w:trPr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20" w:after="20"/>
            </w:pPr>
            <w:r>
              <w:rPr>
                <w:sz w:val="20"/>
              </w:rPr>
              <w:t>Ordre/bestillingsreferanse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  <w:r>
              <w:t>Kundens ordrenummer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</w:p>
        </w:tc>
      </w:tr>
      <w:tr w:rsidR="005901AA" w:rsidTr="002E3DF6">
        <w:trPr>
          <w:cantSplit/>
          <w:trHeight w:val="548"/>
        </w:trPr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20" w:after="20"/>
            </w:pPr>
            <w:r>
              <w:rPr>
                <w:sz w:val="20"/>
              </w:rPr>
              <w:t>Fakturareferanse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  <w:r>
              <w:t>Kundens ordrenummer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</w:p>
        </w:tc>
      </w:tr>
      <w:tr w:rsidR="005901AA" w:rsidTr="002E3DF6">
        <w:trPr>
          <w:cantSplit/>
          <w:trHeight w:val="548"/>
        </w:trPr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20" w:after="20"/>
            </w:pPr>
            <w:r>
              <w:rPr>
                <w:sz w:val="20"/>
              </w:rPr>
              <w:t xml:space="preserve">Rammeavtale 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A24F34" w:rsidP="002E3DF6">
            <w:pPr>
              <w:spacing w:before="20" w:after="20"/>
              <w:jc w:val="center"/>
            </w:pPr>
            <w:r>
              <w:t>2018-114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</w:p>
        </w:tc>
      </w:tr>
      <w:tr w:rsidR="005901AA" w:rsidTr="002E3DF6">
        <w:trPr>
          <w:cantSplit/>
          <w:trHeight w:val="548"/>
        </w:trPr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pStyle w:val="Table"/>
              <w:spacing w:before="20" w:after="20"/>
            </w:pPr>
            <w:r>
              <w:rPr>
                <w:sz w:val="20"/>
              </w:rPr>
              <w:t xml:space="preserve">Formater på vedlegg 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901AA" w:rsidRDefault="005901AA" w:rsidP="002E3DF6">
            <w:pPr>
              <w:spacing w:before="20" w:after="20"/>
              <w:jc w:val="center"/>
            </w:pPr>
          </w:p>
        </w:tc>
      </w:tr>
    </w:tbl>
    <w:p w:rsidR="005901AA" w:rsidRDefault="005901AA" w:rsidP="005901AA">
      <w:pPr>
        <w:pStyle w:val="StandardText"/>
        <w:spacing w:before="60" w:after="60"/>
      </w:pPr>
      <w:r>
        <w:rPr>
          <w:vertAlign w:val="superscript"/>
        </w:rPr>
        <w:t>1</w:t>
      </w:r>
      <w:r>
        <w:t xml:space="preserve"> F.eks. Organisasjonsnummer, kundenummer eller GLN</w:t>
      </w:r>
    </w:p>
    <w:p w:rsidR="005901AA" w:rsidRDefault="005901AA" w:rsidP="005901AA">
      <w:pPr>
        <w:pStyle w:val="StandardText"/>
        <w:spacing w:before="60" w:after="60"/>
      </w:pPr>
      <w:r>
        <w:rPr>
          <w:vertAlign w:val="superscript"/>
        </w:rPr>
        <w:t>2</w:t>
      </w:r>
      <w:r>
        <w:t xml:space="preserve"> F.eks. post/gateadresse eller GLN</w:t>
      </w:r>
    </w:p>
    <w:p w:rsidR="005901AA" w:rsidRDefault="005901AA" w:rsidP="005901AA">
      <w:pPr>
        <w:pStyle w:val="StandardText"/>
        <w:spacing w:before="60" w:after="60"/>
      </w:pPr>
      <w:r>
        <w:rPr>
          <w:vertAlign w:val="superscript"/>
        </w:rPr>
        <w:t>3</w:t>
      </w:r>
      <w:r>
        <w:t xml:space="preserve"> F.eks. GTIN, kundens artikkelnummer eller leverandørens artikkelnummer</w:t>
      </w:r>
    </w:p>
    <w:p w:rsidR="005901AA" w:rsidRDefault="005901AA" w:rsidP="005901AA">
      <w:pPr>
        <w:pStyle w:val="StandardText"/>
        <w:spacing w:before="60" w:after="60"/>
      </w:pPr>
      <w:r>
        <w:rPr>
          <w:vertAlign w:val="superscript"/>
        </w:rPr>
        <w:t>4</w:t>
      </w:r>
      <w:r>
        <w:t xml:space="preserve"> F.eks. referanse til rammeavtale hvis relevant/eksisterende.</w:t>
      </w:r>
    </w:p>
    <w:p w:rsidR="005901AA" w:rsidRDefault="005901AA" w:rsidP="005901AA">
      <w:pPr>
        <w:pStyle w:val="StandardText"/>
        <w:tabs>
          <w:tab w:val="left" w:pos="136"/>
        </w:tabs>
        <w:spacing w:before="60" w:after="60"/>
      </w:pPr>
      <w:r>
        <w:rPr>
          <w:vertAlign w:val="superscript"/>
        </w:rPr>
        <w:t>5</w:t>
      </w:r>
      <w:r>
        <w:t xml:space="preserve"> For de leverandører som ønsker å legge ved vedlegg, så skal vedlegget være i et av de </w:t>
      </w:r>
      <w:r>
        <w:tab/>
        <w:t>anbefalte formatene definert av EHF.</w:t>
      </w:r>
    </w:p>
    <w:p w:rsidR="005901AA" w:rsidRPr="005F45EE" w:rsidRDefault="005901AA" w:rsidP="005901AA">
      <w:pPr>
        <w:pStyle w:val="Overskrift1"/>
        <w:rPr>
          <w:sz w:val="28"/>
          <w:szCs w:val="28"/>
        </w:rPr>
      </w:pPr>
      <w:r w:rsidRPr="005F45EE">
        <w:rPr>
          <w:sz w:val="28"/>
          <w:szCs w:val="28"/>
        </w:rPr>
        <w:lastRenderedPageBreak/>
        <w:t>Elektronisk produktkatalog</w:t>
      </w:r>
    </w:p>
    <w:p w:rsidR="005901AA" w:rsidRPr="009B32C4" w:rsidRDefault="005901AA" w:rsidP="005901AA">
      <w:r>
        <w:t xml:space="preserve">Meldingsutveksling og informasjonsinnhold i de enkelte meldinger skal være i henhold til gjeldende EHF spesifikasjon og partenes registrering i ELMA (PEPPOL </w:t>
      </w:r>
      <w:r w:rsidRPr="009B32C4">
        <w:t>SMP/SML) med mindre annet er avtalt i punkt 2.</w:t>
      </w:r>
    </w:p>
    <w:p w:rsidR="005901AA" w:rsidRDefault="005901AA" w:rsidP="005901AA">
      <w:r w:rsidRPr="009B32C4">
        <w:t xml:space="preserve">Produktkatalogen </w:t>
      </w:r>
      <w:r w:rsidR="009B32C4" w:rsidRPr="009B32C4">
        <w:t>skal oppdateres etter avtale.</w:t>
      </w:r>
      <w:r w:rsidR="009B32C4">
        <w:t xml:space="preserve"> </w:t>
      </w:r>
    </w:p>
    <w:p w:rsidR="005901AA" w:rsidRDefault="005901AA" w:rsidP="005901AA">
      <w:r>
        <w:t xml:space="preserve">Leverandøren kan i tillegg utarbeide og oversende ny katalog når minst ett av følgende kriterier er tilfredsstilt: </w:t>
      </w:r>
    </w:p>
    <w:p w:rsidR="005901AA" w:rsidRDefault="005901AA" w:rsidP="005901AA">
      <w:pPr>
        <w:pStyle w:val="Listeavsnitt"/>
        <w:numPr>
          <w:ilvl w:val="0"/>
          <w:numId w:val="3"/>
        </w:numPr>
      </w:pPr>
      <w:r>
        <w:t xml:space="preserve">Ny avtale er signert </w:t>
      </w:r>
    </w:p>
    <w:p w:rsidR="005901AA" w:rsidRDefault="005901AA" w:rsidP="005901AA">
      <w:pPr>
        <w:pStyle w:val="Listeavsnitt"/>
        <w:numPr>
          <w:ilvl w:val="0"/>
          <w:numId w:val="3"/>
        </w:numPr>
      </w:pPr>
      <w:r>
        <w:t xml:space="preserve">Endringsavtale som regulerer sortiments- eller prisendringer er signert. </w:t>
      </w:r>
    </w:p>
    <w:p w:rsidR="005901AA" w:rsidRDefault="005901AA" w:rsidP="005901AA">
      <w:r w:rsidRPr="009B32C4">
        <w:t>Kunde aksepterer ny katalog kun når minst ett av kriteriene ovenfor er tilfredsstilt.</w:t>
      </w:r>
      <w:r>
        <w:t xml:space="preserve"> </w:t>
      </w:r>
    </w:p>
    <w:p w:rsidR="005901AA" w:rsidRDefault="005901AA" w:rsidP="005901AA">
      <w:r>
        <w:t xml:space="preserve">Dersom Leverandøren har katalog, skal denne leveres til den offentlige markedsplassen senest 10 arbeidsdager etter at minst ett av kriteriene ovenfor er tilfredsstilt. Dersom Leverandøren ikke leverer katalog i henhold til dette krav, er dette å regne som en forsinkelse i henhold til avtalens generelle vilkår. </w:t>
      </w:r>
    </w:p>
    <w:p w:rsidR="005901AA" w:rsidRDefault="005901AA" w:rsidP="005901AA">
      <w:r>
        <w:t xml:space="preserve">Ved endringer i sortimentet der nye artikler erstatter gamle artikler skal det, i tillegg til katalog, også utarbeide detaljert konverteringsliste i Excel-format. </w:t>
      </w:r>
    </w:p>
    <w:p w:rsidR="005901AA" w:rsidRDefault="005901AA" w:rsidP="005901AA">
      <w:r>
        <w:t xml:space="preserve">Dersom katalogrespons benyttes skal denne være sendt av kjøper innen xx timer etter at katalogen er mottatt. </w:t>
      </w:r>
    </w:p>
    <w:p w:rsidR="005901AA" w:rsidRDefault="005901AA" w:rsidP="005901AA">
      <w:pPr>
        <w:pStyle w:val="Overskrift2"/>
      </w:pPr>
      <w:r>
        <w:t>Krav til kvalitet</w:t>
      </w:r>
    </w:p>
    <w:p w:rsidR="005901AA" w:rsidRDefault="005901AA" w:rsidP="005901AA">
      <w:r>
        <w:t>Følgende krav stilles til kvalitet i den produktkatalogen som leverandør til enhver tid gjør tilgjengelig for kjøper:</w:t>
      </w:r>
    </w:p>
    <w:tbl>
      <w:tblPr>
        <w:tblW w:w="0" w:type="auto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5155"/>
        <w:gridCol w:w="2699"/>
      </w:tblGrid>
      <w:tr w:rsidR="005901AA" w:rsidTr="005901AA">
        <w:trPr>
          <w:trHeight w:val="230"/>
        </w:trPr>
        <w:tc>
          <w:tcPr>
            <w:tcW w:w="5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Vurderingsparameter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5901AA" w:rsidRDefault="005901AA" w:rsidP="002E3DF6">
            <w:pPr>
              <w:pStyle w:val="Table"/>
              <w:jc w:val="center"/>
            </w:pPr>
            <w:r>
              <w:rPr>
                <w:sz w:val="20"/>
              </w:rPr>
              <w:t xml:space="preserve">Krav til poengsum (0-5) 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5901AA" w:rsidTr="002E3DF6">
        <w:trPr>
          <w:trHeight w:val="230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A</w:t>
            </w:r>
          </w:p>
        </w:tc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Produktnavn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Pr="009B32C4" w:rsidRDefault="005901AA" w:rsidP="002E3DF6">
            <w:pPr>
              <w:spacing w:before="60" w:after="60"/>
              <w:jc w:val="center"/>
            </w:pPr>
            <w:r w:rsidRPr="009B32C4">
              <w:t>5</w:t>
            </w:r>
          </w:p>
        </w:tc>
      </w:tr>
      <w:tr w:rsidR="005901AA" w:rsidTr="002E3DF6">
        <w:trPr>
          <w:trHeight w:val="230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B</w:t>
            </w:r>
          </w:p>
        </w:tc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Produktbeskrivelse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Pr="009B32C4" w:rsidRDefault="005901AA" w:rsidP="002E3DF6">
            <w:pPr>
              <w:spacing w:before="60" w:after="60"/>
              <w:jc w:val="center"/>
            </w:pPr>
            <w:r w:rsidRPr="009B32C4">
              <w:t>5</w:t>
            </w:r>
          </w:p>
        </w:tc>
      </w:tr>
      <w:tr w:rsidR="005901AA" w:rsidTr="002E3DF6">
        <w:trPr>
          <w:trHeight w:val="230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C</w:t>
            </w:r>
          </w:p>
        </w:tc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Bilder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Pr="009B32C4" w:rsidRDefault="005901AA" w:rsidP="002E3DF6">
            <w:pPr>
              <w:spacing w:before="60" w:after="60"/>
              <w:jc w:val="center"/>
            </w:pPr>
            <w:r w:rsidRPr="009B32C4">
              <w:t>4</w:t>
            </w:r>
          </w:p>
        </w:tc>
      </w:tr>
      <w:tr w:rsidR="005901AA" w:rsidTr="002E3DF6">
        <w:trPr>
          <w:trHeight w:val="230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D</w:t>
            </w:r>
          </w:p>
        </w:tc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 xml:space="preserve">Kategorisering (UNSPSC)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Pr="009B32C4" w:rsidRDefault="005901AA" w:rsidP="002E3DF6">
            <w:pPr>
              <w:spacing w:before="60" w:after="60"/>
              <w:jc w:val="center"/>
            </w:pPr>
            <w:r w:rsidRPr="009B32C4">
              <w:t>5</w:t>
            </w:r>
          </w:p>
        </w:tc>
      </w:tr>
      <w:tr w:rsidR="005901AA" w:rsidTr="002E3DF6">
        <w:trPr>
          <w:trHeight w:val="230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E</w:t>
            </w:r>
          </w:p>
        </w:tc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Synonymer / nøkkelord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Pr="009B32C4" w:rsidRDefault="005901AA" w:rsidP="002E3DF6">
            <w:pPr>
              <w:spacing w:before="60" w:after="60"/>
              <w:jc w:val="center"/>
            </w:pPr>
            <w:r w:rsidRPr="009B32C4">
              <w:t>3</w:t>
            </w:r>
          </w:p>
        </w:tc>
      </w:tr>
      <w:tr w:rsidR="005901AA" w:rsidTr="002E3DF6">
        <w:trPr>
          <w:trHeight w:val="230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F</w:t>
            </w:r>
          </w:p>
        </w:tc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 xml:space="preserve">Produktidentitet 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Pr="009B32C4" w:rsidRDefault="005901AA" w:rsidP="002E3DF6">
            <w:pPr>
              <w:spacing w:before="60" w:after="60"/>
              <w:jc w:val="center"/>
            </w:pPr>
            <w:r w:rsidRPr="009B32C4">
              <w:t>3</w:t>
            </w:r>
          </w:p>
        </w:tc>
      </w:tr>
      <w:tr w:rsidR="005901AA" w:rsidTr="002E3DF6">
        <w:trPr>
          <w:trHeight w:val="230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G</w:t>
            </w:r>
          </w:p>
        </w:tc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Default="005901AA" w:rsidP="002E3DF6">
            <w:pPr>
              <w:pStyle w:val="Table"/>
            </w:pPr>
            <w:r>
              <w:rPr>
                <w:sz w:val="20"/>
              </w:rPr>
              <w:t>Vedlegg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901AA" w:rsidRPr="009B32C4" w:rsidRDefault="005901AA" w:rsidP="002E3DF6">
            <w:pPr>
              <w:spacing w:before="60" w:after="60"/>
              <w:jc w:val="center"/>
            </w:pPr>
            <w:r w:rsidRPr="009B32C4">
              <w:t>1</w:t>
            </w:r>
          </w:p>
        </w:tc>
      </w:tr>
    </w:tbl>
    <w:p w:rsidR="005901AA" w:rsidRDefault="005901AA" w:rsidP="005901AA">
      <w:pPr>
        <w:pStyle w:val="StandardText"/>
        <w:spacing w:before="60" w:after="60"/>
      </w:pPr>
      <w:r>
        <w:rPr>
          <w:vertAlign w:val="superscript"/>
        </w:rPr>
        <w:t>1</w:t>
      </w:r>
      <w:r>
        <w:t xml:space="preserve"> Kravmatrise se avsnitt7.</w:t>
      </w:r>
    </w:p>
    <w:p w:rsidR="005901AA" w:rsidRDefault="005901AA" w:rsidP="005901AA">
      <w:pPr>
        <w:pStyle w:val="StandardText"/>
        <w:tabs>
          <w:tab w:val="left" w:pos="133"/>
        </w:tabs>
        <w:spacing w:before="60" w:after="60"/>
      </w:pPr>
      <w:r>
        <w:rPr>
          <w:vertAlign w:val="superscript"/>
        </w:rPr>
        <w:t>2</w:t>
      </w:r>
      <w:r>
        <w:t xml:space="preserve"> Kategorisering av varer og tjenester i henhold til UNSPSC er obligatorisk i produktkataloger. </w:t>
      </w:r>
      <w:r>
        <w:tab/>
        <w:t xml:space="preserve">Den vanligste versjonen bland offentlige virksomheter er 7.0401.  Det er viktig at det avstemmes </w:t>
      </w:r>
      <w:r>
        <w:tab/>
        <w:t xml:space="preserve">mellom kjøper og leverandør hvilken versjon som skal benyttes. </w:t>
      </w:r>
      <w:r>
        <w:br/>
      </w:r>
      <w:r>
        <w:tab/>
      </w:r>
      <w:hyperlink r:id="rId7" w:history="1">
        <w:r w:rsidRPr="00622491">
          <w:rPr>
            <w:rStyle w:val="Hyperkobling"/>
          </w:rPr>
          <w:t>http://www.anskaffelser.no/elektronisk-handel/temaer-elektronisk-handel/klassifisering-unspsc</w:t>
        </w:r>
      </w:hyperlink>
      <w:r>
        <w:t xml:space="preserve"> </w:t>
      </w:r>
    </w:p>
    <w:p w:rsidR="005901AA" w:rsidRDefault="005901AA" w:rsidP="005901AA">
      <w:pPr>
        <w:pStyle w:val="StandardText"/>
        <w:tabs>
          <w:tab w:val="left" w:pos="136"/>
        </w:tabs>
        <w:spacing w:before="60" w:after="60"/>
      </w:pPr>
      <w:r>
        <w:rPr>
          <w:vertAlign w:val="superscript"/>
        </w:rPr>
        <w:lastRenderedPageBreak/>
        <w:t>3</w:t>
      </w:r>
      <w:r>
        <w:t xml:space="preserve"> Med produktidentitet menes produsentens navn og artikkelnummer, i tillegg til leverandørens </w:t>
      </w:r>
      <w:r>
        <w:tab/>
        <w:t>artikkelnummer.</w:t>
      </w:r>
    </w:p>
    <w:p w:rsidR="005901AA" w:rsidRDefault="005901AA" w:rsidP="005901AA">
      <w:pPr>
        <w:pStyle w:val="Overskrift2"/>
      </w:pPr>
      <w:r>
        <w:t xml:space="preserve">Krav til innhold </w:t>
      </w:r>
    </w:p>
    <w:p w:rsidR="005901AA" w:rsidRDefault="005901AA" w:rsidP="005901AA">
      <w:pPr>
        <w:pStyle w:val="Listeavsnitt"/>
        <w:numPr>
          <w:ilvl w:val="0"/>
          <w:numId w:val="4"/>
        </w:numPr>
      </w:pPr>
      <w:r>
        <w:t xml:space="preserve">Katalogen skal inneholde komplett avtalesortiment for denne avtale. </w:t>
      </w:r>
    </w:p>
    <w:p w:rsidR="005901AA" w:rsidRPr="005901AA" w:rsidRDefault="005901AA" w:rsidP="005901AA">
      <w:pPr>
        <w:pStyle w:val="StandardText"/>
        <w:numPr>
          <w:ilvl w:val="0"/>
          <w:numId w:val="4"/>
        </w:numPr>
        <w:rPr>
          <w:rFonts w:eastAsiaTheme="minorHAnsi" w:cs="Arial"/>
          <w:sz w:val="24"/>
          <w:szCs w:val="24"/>
        </w:rPr>
      </w:pPr>
      <w:r w:rsidRPr="005901AA">
        <w:rPr>
          <w:rFonts w:eastAsiaTheme="minorHAnsi" w:cs="Arial"/>
          <w:sz w:val="24"/>
          <w:szCs w:val="24"/>
        </w:rPr>
        <w:t xml:space="preserve">Katalogen anses ikke som levert før den er komplett og korrekt. Dersom Leverandøren ikke leverer katalog i henhold til disse krav, er dette å anse som en mangel. </w:t>
      </w:r>
    </w:p>
    <w:p w:rsidR="005901AA" w:rsidRPr="005F45EE" w:rsidRDefault="005901AA" w:rsidP="005901AA">
      <w:pPr>
        <w:pStyle w:val="Overskrift1"/>
        <w:rPr>
          <w:sz w:val="28"/>
          <w:szCs w:val="28"/>
        </w:rPr>
      </w:pPr>
      <w:r w:rsidRPr="005F45EE">
        <w:rPr>
          <w:sz w:val="28"/>
          <w:szCs w:val="28"/>
        </w:rPr>
        <w:t>Bestilling</w:t>
      </w:r>
    </w:p>
    <w:p w:rsidR="005901AA" w:rsidRDefault="005901AA" w:rsidP="005901AA">
      <w:r>
        <w:t xml:space="preserve">Kunden forplikter seg til å oversende elektroniske innkjøpsordrer til Leverandøren via den offentlige markedsplassen. </w:t>
      </w:r>
    </w:p>
    <w:p w:rsidR="005901AA" w:rsidRDefault="005901AA" w:rsidP="005901AA">
      <w:r>
        <w:t>Meldingsutveksling og informasjonsinnhold i de enkelte meldinger skal være i henhold til gjeldende EHF spesifikasjon og partenes registrering i ELMA (PEPPOL SMP/SML) med mindre annet er avtalt i punkt 2.</w:t>
      </w:r>
    </w:p>
    <w:p w:rsidR="005901AA" w:rsidRDefault="005901AA" w:rsidP="005901AA">
      <w:r>
        <w:t xml:space="preserve">Leverandøren skal levere elektronisk ordrebekreftelse til Kunden uten ugrunnet opphold etter mottak av elektronisk bestilling, </w:t>
      </w:r>
      <w:r w:rsidR="00C61946">
        <w:t xml:space="preserve">på format </w:t>
      </w:r>
      <w:r w:rsidR="00A56660">
        <w:t xml:space="preserve">etter avtale. </w:t>
      </w:r>
    </w:p>
    <w:p w:rsidR="005901AA" w:rsidRDefault="005901AA" w:rsidP="005901AA">
      <w:pPr>
        <w:pStyle w:val="Overskrift2"/>
      </w:pPr>
      <w:r>
        <w:t>Bruk av bekreftelse med endring</w:t>
      </w:r>
    </w:p>
    <w:p w:rsidR="005901AA" w:rsidRDefault="005901AA" w:rsidP="005901AA">
      <w:r>
        <w:t xml:space="preserve">Partene er enig om at Leverandør kan benytte bekreftelser med status «Akseptert med endring» i følgende situasjoner: </w:t>
      </w:r>
    </w:p>
    <w:tbl>
      <w:tblPr>
        <w:tblW w:w="0" w:type="auto"/>
        <w:tblInd w:w="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77"/>
        <w:gridCol w:w="941"/>
        <w:gridCol w:w="910"/>
      </w:tblGrid>
      <w:tr w:rsidR="00A56660" w:rsidTr="00A56660">
        <w:trPr>
          <w:trHeight w:val="266"/>
        </w:trPr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rPr>
                <w:sz w:val="20"/>
              </w:rPr>
              <w:t>Type endring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A56660" w:rsidRDefault="00A56660" w:rsidP="002E3DF6">
            <w:pPr>
              <w:pStyle w:val="Table"/>
              <w:jc w:val="center"/>
            </w:pPr>
            <w:r>
              <w:rPr>
                <w:sz w:val="20"/>
              </w:rPr>
              <w:t>Ja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A56660" w:rsidRDefault="00A56660" w:rsidP="002E3DF6">
            <w:pPr>
              <w:pStyle w:val="Table"/>
              <w:jc w:val="center"/>
            </w:pPr>
            <w:r>
              <w:rPr>
                <w:sz w:val="20"/>
              </w:rPr>
              <w:t>Nei</w:t>
            </w:r>
          </w:p>
        </w:tc>
      </w:tr>
      <w:tr w:rsidR="00A56660" w:rsidTr="002E3DF6">
        <w:trPr>
          <w:trHeight w:val="266"/>
        </w:trPr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rPr>
                <w:sz w:val="20"/>
              </w:rPr>
              <w:t>Endret leveringsdato som gjelder for hele ordren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  <w:r>
              <w:t>x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</w:tr>
      <w:tr w:rsidR="00A56660" w:rsidTr="002E3DF6">
        <w:trPr>
          <w:trHeight w:val="266"/>
        </w:trPr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rPr>
                <w:sz w:val="20"/>
              </w:rPr>
              <w:t>Endret leveringsdato for en enkelt varelinje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  <w:r>
              <w:t>x</w:t>
            </w:r>
          </w:p>
        </w:tc>
      </w:tr>
      <w:tr w:rsidR="00A56660" w:rsidTr="002E3DF6">
        <w:trPr>
          <w:trHeight w:val="266"/>
        </w:trPr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rPr>
                <w:sz w:val="20"/>
              </w:rPr>
              <w:t>Reduksjon i kvantum som leveres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  <w:r>
              <w:t>x</w:t>
            </w:r>
          </w:p>
        </w:tc>
      </w:tr>
      <w:tr w:rsidR="00A56660" w:rsidTr="002E3DF6">
        <w:trPr>
          <w:trHeight w:val="266"/>
        </w:trPr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rPr>
                <w:sz w:val="20"/>
              </w:rPr>
              <w:t>Erstatningsprodukt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  <w:r>
              <w:t>x</w:t>
            </w:r>
          </w:p>
        </w:tc>
      </w:tr>
      <w:tr w:rsidR="00A56660" w:rsidTr="002E3DF6">
        <w:trPr>
          <w:trHeight w:val="266"/>
        </w:trPr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rPr>
                <w:sz w:val="20"/>
              </w:rPr>
              <w:t>Endret pris (i de tilfeller man har en avtalefestet variabel pris eller pris er lavere enn avtalepris)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  <w:r>
              <w:t>x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</w:tr>
      <w:tr w:rsidR="00A56660" w:rsidTr="002E3DF6">
        <w:trPr>
          <w:trHeight w:val="266"/>
        </w:trPr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rPr>
                <w:sz w:val="20"/>
              </w:rPr>
              <w:t>Splitting av leveransen for en eller flere varelinjer over to eller flere leveringsdato (restordre)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  <w:r>
              <w:t>x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</w:tr>
      <w:tr w:rsidR="00A56660" w:rsidTr="002E3DF6">
        <w:trPr>
          <w:trHeight w:val="266"/>
        </w:trPr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rPr>
                <w:sz w:val="20"/>
              </w:rPr>
              <w:t>Andre endringer (må spesifiseres)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</w:tr>
    </w:tbl>
    <w:p w:rsidR="005901AA" w:rsidRDefault="005901AA" w:rsidP="005901AA"/>
    <w:p w:rsidR="005901AA" w:rsidRDefault="00A56660" w:rsidP="00A56660">
      <w:pPr>
        <w:pStyle w:val="Overskrift2"/>
      </w:pPr>
      <w:r>
        <w:t>K</w:t>
      </w:r>
      <w:r w:rsidR="005901AA">
        <w:t>jøpers håndtering av bekreftelse med endring</w:t>
      </w:r>
    </w:p>
    <w:p w:rsidR="005901AA" w:rsidRDefault="005901AA" w:rsidP="005901AA">
      <w:r>
        <w:t xml:space="preserve">Et av følgende prinsipp er avtalt for kjøpers behandling av bekreftelser med status «Akseptert med endring»: </w:t>
      </w:r>
    </w:p>
    <w:p w:rsidR="00A56660" w:rsidRDefault="00A56660" w:rsidP="005901AA"/>
    <w:tbl>
      <w:tblPr>
        <w:tblW w:w="0" w:type="auto"/>
        <w:tblInd w:w="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91"/>
        <w:gridCol w:w="941"/>
        <w:gridCol w:w="923"/>
      </w:tblGrid>
      <w:tr w:rsidR="00A56660" w:rsidTr="00A56660">
        <w:trPr>
          <w:trHeight w:val="266"/>
        </w:trPr>
        <w:tc>
          <w:tcPr>
            <w:tcW w:w="6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t>Prinsipp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A56660" w:rsidRDefault="00A56660" w:rsidP="002E3DF6">
            <w:pPr>
              <w:pStyle w:val="Table"/>
              <w:jc w:val="center"/>
            </w:pPr>
            <w:r>
              <w:t>Ja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A56660" w:rsidRDefault="00A56660" w:rsidP="002E3DF6">
            <w:pPr>
              <w:pStyle w:val="Table"/>
              <w:jc w:val="center"/>
            </w:pPr>
            <w:r>
              <w:t>Nei</w:t>
            </w:r>
          </w:p>
        </w:tc>
      </w:tr>
      <w:tr w:rsidR="00A56660" w:rsidTr="002E3DF6">
        <w:trPr>
          <w:trHeight w:val="266"/>
        </w:trPr>
        <w:tc>
          <w:tcPr>
            <w:tcW w:w="6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lastRenderedPageBreak/>
              <w:t>Stilltiende aksept</w:t>
            </w:r>
            <w:r>
              <w:br/>
              <w:t>Dersom Leverandør bekrefter med status “Akseptert med endring” er Leverandørens endringer å betrakte som akseptert av kjøper med mindre kjøper gir leverandør respons innen  xx dager etter mottak av bekreftelsen.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</w:tr>
      <w:tr w:rsidR="00A56660" w:rsidTr="002E3DF6">
        <w:trPr>
          <w:trHeight w:val="266"/>
        </w:trPr>
        <w:tc>
          <w:tcPr>
            <w:tcW w:w="6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t>Kansellering og ny bestilling</w:t>
            </w:r>
            <w:r>
              <w:br/>
              <w:t>Dersom Leverandør bekrefter med status “Akseptert med endring” skal kjøper alltid kansellere bestillingen og eventuelt starte bestillingsprosessen på nytt.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  <w:r>
              <w:t>x</w:t>
            </w:r>
          </w:p>
        </w:tc>
      </w:tr>
      <w:tr w:rsidR="00A56660" w:rsidTr="002E3DF6">
        <w:trPr>
          <w:trHeight w:val="266"/>
        </w:trPr>
        <w:tc>
          <w:tcPr>
            <w:tcW w:w="6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able"/>
            </w:pPr>
            <w:r>
              <w:t>Endringsordre</w:t>
            </w:r>
            <w:r>
              <w:br/>
              <w:t>Dersom Leverandør bekrefter med status “Akseptert med endring” skal kjøper alltid bekrefte aksept eller avvisning av endringen innen  dager etter mottak av bekreftelsen.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pStyle w:val="Table"/>
              <w:jc w:val="center"/>
            </w:pPr>
            <w:r>
              <w:t>x</w:t>
            </w:r>
          </w:p>
        </w:tc>
      </w:tr>
    </w:tbl>
    <w:p w:rsidR="005901AA" w:rsidRPr="005F45EE" w:rsidRDefault="005901AA" w:rsidP="00A56660">
      <w:pPr>
        <w:pStyle w:val="Overskrift1"/>
        <w:rPr>
          <w:sz w:val="28"/>
          <w:szCs w:val="28"/>
        </w:rPr>
      </w:pPr>
      <w:r w:rsidRPr="005F45EE">
        <w:rPr>
          <w:sz w:val="28"/>
          <w:szCs w:val="28"/>
        </w:rPr>
        <w:t>Forsendelse og varemottak</w:t>
      </w:r>
    </w:p>
    <w:p w:rsidR="005901AA" w:rsidRDefault="005901AA" w:rsidP="005901AA">
      <w:r>
        <w:t>Meldingsutveksling og informasjonsinnhold i de enkelte meldinger skal være i henhold til gjeldende EHF spesifikasjon og partenes registrering i ELMA (PEPPOL SMP/SML) med mindre annet er avtalt i punkt 2.</w:t>
      </w:r>
    </w:p>
    <w:p w:rsidR="005901AA" w:rsidRPr="005F45EE" w:rsidRDefault="005901AA" w:rsidP="00A56660">
      <w:pPr>
        <w:pStyle w:val="Overskrift1"/>
        <w:rPr>
          <w:sz w:val="28"/>
          <w:szCs w:val="28"/>
        </w:rPr>
      </w:pPr>
      <w:r w:rsidRPr="005F45EE">
        <w:rPr>
          <w:sz w:val="28"/>
          <w:szCs w:val="28"/>
        </w:rPr>
        <w:t>Fakturering</w:t>
      </w:r>
    </w:p>
    <w:p w:rsidR="005901AA" w:rsidRDefault="005901AA" w:rsidP="005901AA">
      <w:r>
        <w:t>Meldingsutveksling og informasjonsinnhold i de enkelte meldinger skal være i henhold til gjeldende EHF spesifikasjon og partenes registrering i ELMA (PEPPOL SMP/SML) med mindre annet er avtalt.</w:t>
      </w:r>
    </w:p>
    <w:p w:rsidR="005901AA" w:rsidRPr="005F45EE" w:rsidRDefault="005901AA" w:rsidP="00A56660">
      <w:pPr>
        <w:pStyle w:val="Overskrift1"/>
        <w:rPr>
          <w:sz w:val="28"/>
          <w:szCs w:val="28"/>
        </w:rPr>
      </w:pPr>
      <w:r w:rsidRPr="005F45EE">
        <w:rPr>
          <w:sz w:val="28"/>
          <w:szCs w:val="28"/>
        </w:rPr>
        <w:t>Kvalitetsparameterne for produktkatalog</w:t>
      </w:r>
    </w:p>
    <w:p w:rsidR="005901AA" w:rsidRDefault="005901AA" w:rsidP="005901AA">
      <w:r>
        <w:t>Nedenstående kvalitetsparameterne skal hjelpe Kjøper å sette krav til Leverandør for ønsket kvalitet i den elektroniske katalogen. Dette for å øke innkjøpsopplevelsen og søkbarhet i innkjøpssystemet for sluttbruker for derigjennom øke avtalelojalitet, anbefales høyest mulig poengskår. Tallverdi fylles inn i avsnitt for produktkatalog.</w:t>
      </w:r>
    </w:p>
    <w:tbl>
      <w:tblPr>
        <w:tblW w:w="0" w:type="auto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14"/>
        <w:gridCol w:w="587"/>
        <w:gridCol w:w="6845"/>
      </w:tblGrid>
      <w:tr w:rsidR="00A56660" w:rsidTr="00A56660"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A56660" w:rsidRDefault="00A56660" w:rsidP="002E3DF6">
            <w:pPr>
              <w:jc w:val="center"/>
            </w:pPr>
            <w:r>
              <w:rPr>
                <w:b/>
                <w:sz w:val="15"/>
                <w:szCs w:val="15"/>
              </w:rPr>
              <w:t>Attributt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b/>
                <w:sz w:val="15"/>
                <w:szCs w:val="15"/>
              </w:rPr>
              <w:t>Verdi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A56660" w:rsidRDefault="00A56660" w:rsidP="002E3DF6">
            <w:r>
              <w:rPr>
                <w:b/>
                <w:sz w:val="15"/>
                <w:szCs w:val="15"/>
              </w:rPr>
              <w:t>Kriterier</w:t>
            </w:r>
          </w:p>
        </w:tc>
      </w:tr>
      <w:tr w:rsidR="00A56660" w:rsidTr="002E3DF6"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A - </w:t>
            </w:r>
            <w:r>
              <w:rPr>
                <w:b/>
                <w:bCs/>
                <w:sz w:val="15"/>
                <w:szCs w:val="15"/>
              </w:rPr>
              <w:br/>
              <w:t>Produkt</w:t>
            </w:r>
            <w:r>
              <w:rPr>
                <w:b/>
                <w:bCs/>
                <w:sz w:val="15"/>
                <w:szCs w:val="15"/>
              </w:rPr>
              <w:softHyphen/>
              <w:t>navn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Artikkelnummer, typebetegnelse eller lignende brukes som artikkelnavn. Ingen informasjon om produkttype.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Nøkkelterminologi er forkortet. Viktig produktinformasjon savnes (for eksempel produsent/modell). Artikkelnavnet er ikke unikt.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Se verdi 1. Artikkelnavnene er unike.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Artikkelnavnet er unikt og beskrivende, men ikke rasjonalisert (se verdi 4). Ingen forkortede nøkkeltermer.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 xml:space="preserve">Rasjonaliserte artikkelnavn ifølge anbefalt syntaks-&gt; </w:t>
            </w:r>
          </w:p>
          <w:p w:rsidR="00A56660" w:rsidRDefault="00A56660" w:rsidP="002E3DF6">
            <w:r>
              <w:rPr>
                <w:sz w:val="15"/>
                <w:szCs w:val="15"/>
              </w:rPr>
              <w:t>(Type av produkt - merke / modell - nøkkelattributt). Unike navn. Ingen forkortede nøkkeltermer.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 xml:space="preserve">Se verdi 4. Konvensjonelle navn og termer brukes (brukervennlige, enkle å forstå for alle </w:t>
            </w:r>
            <w:r>
              <w:rPr>
                <w:sz w:val="15"/>
                <w:szCs w:val="15"/>
              </w:rPr>
              <w:lastRenderedPageBreak/>
              <w:t>sluttbrukere).</w:t>
            </w:r>
          </w:p>
        </w:tc>
      </w:tr>
      <w:tr w:rsidR="00A56660" w:rsidTr="002E3DF6"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B - </w:t>
            </w:r>
            <w:r>
              <w:rPr>
                <w:b/>
                <w:bCs/>
                <w:sz w:val="15"/>
                <w:szCs w:val="15"/>
              </w:rPr>
              <w:br/>
              <w:t>Produkt-beskrivelse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Produktbeskrivelsene er kortere og mindre utførlige enn artikkelnavnet. Produktbeskrivelser savnes.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Produktbeskrivelse = Artikkelnavnet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Viktig informasjon savnes (for eksempel minnet til en PC)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Produktenes formål og egenskaper er beskrevet. Nøkkeltermer er forkortet.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Utførlige beskrivelser med all vital produktinformasjon. Ingen forkortede nøkkeltermer.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Saklig informasjon som beskriver produktenes formål og egenskaper. Ingen unødig reklame eller irrelevant informasjon. (Alle produkter har en produktbeskrivelse)</w:t>
            </w:r>
          </w:p>
        </w:tc>
      </w:tr>
      <w:tr w:rsidR="00A56660" w:rsidTr="002E3DF6"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C -</w:t>
            </w:r>
            <w:r>
              <w:rPr>
                <w:b/>
                <w:bCs/>
                <w:sz w:val="15"/>
                <w:szCs w:val="15"/>
              </w:rPr>
              <w:br/>
              <w:t>Bilder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Mindre enn 15 % av samtlige artikler har bildelenker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Minst 15 % av samtlige artikler har bildelenker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25 % av samtlige artikler har bildelenker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50 % av samtlige artikler har bildelenker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Rett formaterte (størrelse og vekt) og relevante bilder lenket til 80 % av samtlige artikler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Rett formaterte (størrelse og vekt) og relevante bilder lenket til 99 % av samtlige artikler</w:t>
            </w:r>
          </w:p>
        </w:tc>
      </w:tr>
      <w:tr w:rsidR="00A56660" w:rsidTr="002E3DF6"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D - Kategori</w:t>
            </w:r>
            <w:r>
              <w:rPr>
                <w:b/>
                <w:bCs/>
                <w:sz w:val="15"/>
                <w:szCs w:val="15"/>
              </w:rPr>
              <w:softHyphen/>
              <w:t>sering (UNSPSC)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Mindre enn 80 % av samtlige artikler kategorisert i korrekt segment (nivå 2)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Minst 80 % av samtlige artikler kategorisert i korrekt segment (nivå 2)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99 % av samtlige artikler kategorisert i korrekt segment (nivå 2)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99 % av samtlige artikler kategorisert i korrekt familie (nivå 3)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90 % av samtlige artikler kategorisert i korrekt klasse (nivå 4). Øvrige 10 % må være kategorisert i korrekt familie (nivå 3).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99 % av samtlige artikler kategorisert i korrekt varegruppe (nivå 4). Øvrige 1 % må være kategorisert i korrekt familie (nivå 3).</w:t>
            </w:r>
          </w:p>
        </w:tc>
      </w:tr>
      <w:tr w:rsidR="00A56660" w:rsidTr="002E3DF6"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E -Synonymer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Ingen synonymer /nøkkelord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Synonymer /nøkkelord identifiserer sortimentet / leverandøren snarere enn de enkelte produktene, for eksempel 'kontormateriell', 'møbler', 'vaskeutstyr' etc., som kan medføre irrelevante søketreff.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Synonymer / nøkkelord identifiserer 25 % av samtlige artikler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Synonymer /nøkkelord identifiserer 50 % av samtlige artikler. De må være så eksakte som mulig for å gi bra søkepresisjon. For generelle synonymer gir irrelevante søketreff.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Synonymer / nøkkelord identifiserer 75 % av samtlige artikler. De må være så eksakte som mulig for å gi bra søkepresisjon. For generelle synonymer gir irrelevante søketreff.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Synonymer / nøkkelord identifiserer 99 % av samtlige artikler. De må være så eksakte som mulig for å gi bra søkepresisjon. For generelle synonymer gir irrelevante søketreff.</w:t>
            </w:r>
          </w:p>
        </w:tc>
      </w:tr>
      <w:tr w:rsidR="00A56660" w:rsidTr="002E3DF6"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F - 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b/>
                <w:bCs/>
                <w:sz w:val="15"/>
                <w:szCs w:val="15"/>
              </w:rPr>
              <w:t>Produkt</w:t>
            </w:r>
            <w:r>
              <w:rPr>
                <w:b/>
                <w:bCs/>
                <w:sz w:val="15"/>
                <w:szCs w:val="15"/>
              </w:rPr>
              <w:softHyphen/>
              <w:t>identitet</w:t>
            </w:r>
            <w:proofErr w:type="spellEnd"/>
          </w:p>
          <w:p w:rsidR="00A56660" w:rsidRDefault="00A56660" w:rsidP="002E3DF6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Leverandørens artikkelnummer har dårlig format med lav søkbarhet (for eksempel begynner med '0000' eller er separerte med mellomrom).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Leverandørens artikkelnummer har samme format / syntaks i e-katalogen og i web shop / trykt katalog.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Leverandørens artikkelnummer har samme format / syntaks i e-katalogen og i web shop / trykt katalog. Katalogen savner navn på produsent samt produsentens artikkelnummer.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 xml:space="preserve">25 % av samtlige artikler har med produsent og produsentens artikkelnummer. (Unntak: tjenester og logistikkleverandører). Leverandørens artikkelnummer har samme format / syntaks i e-katalogen </w:t>
            </w:r>
            <w:r>
              <w:rPr>
                <w:sz w:val="15"/>
                <w:szCs w:val="15"/>
              </w:rPr>
              <w:lastRenderedPageBreak/>
              <w:t>og i web shop / trykt katalog.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50 % av samtlige artikler har med produsent og produsentens artikkelnummer. (Unntak: tjenester og logistikkleverandører). Leverandørens artikkelnummer har samme format / syntaks i e-katalogen og i web shop / trykt katalog.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99 % av samtlige artikler har med produsent og produsentens artikkelnummer. (Unntak: tjenester og logistikkleverandører). Leverandørens artikkelnummer har samme format / syntaks i e-katalogen og i web shop / trykt katalog.</w:t>
            </w:r>
          </w:p>
        </w:tc>
      </w:tr>
      <w:tr w:rsidR="00A56660" w:rsidTr="002E3DF6"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G - </w:t>
            </w:r>
            <w:r>
              <w:rPr>
                <w:b/>
                <w:bCs/>
                <w:sz w:val="15"/>
                <w:szCs w:val="15"/>
              </w:rPr>
              <w:br/>
              <w:t>Vedlegg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Ingen bilag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Link til leverandørens hjemmeside. Ingen produktspesifikke lenker, tekniske spesifikasjoner eller materialdatablad.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25 % av samtlige artikler har produktspesifikke lenker. (OBS! Ikke bildelenker), tekniske spesifikasjoner eller materialdatablad.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50 % av samtlige artikler har produktspesifikke lenker. (OBS! Ikke bildelenker), tekniske spesifikasjoner eller materialdatablad.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75 % av samtlige artikler har produktspesifikke lenker. (OBS! Ikke bildelenker), tekniske spesifikasjoner eller materialdatablad.</w:t>
            </w:r>
          </w:p>
        </w:tc>
      </w:tr>
      <w:tr w:rsidR="00A56660" w:rsidTr="002E3DF6">
        <w:tc>
          <w:tcPr>
            <w:tcW w:w="1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56660" w:rsidRDefault="00A56660" w:rsidP="002E3DF6"/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jc w:val="center"/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r>
              <w:rPr>
                <w:sz w:val="15"/>
                <w:szCs w:val="15"/>
              </w:rPr>
              <w:t>99 % av samtlige artikler har produktspesifikke lenker. (OBS! Ikke bildelenker), tekniske spesifikasjoner eller materialdatablad</w:t>
            </w:r>
          </w:p>
        </w:tc>
      </w:tr>
    </w:tbl>
    <w:p w:rsidR="005901AA" w:rsidRPr="005F45EE" w:rsidRDefault="005901AA" w:rsidP="00A56660">
      <w:pPr>
        <w:pStyle w:val="Overskrift1"/>
        <w:rPr>
          <w:sz w:val="28"/>
          <w:szCs w:val="28"/>
        </w:rPr>
      </w:pPr>
      <w:bookmarkStart w:id="0" w:name="_GoBack"/>
      <w:r w:rsidRPr="005F45EE">
        <w:rPr>
          <w:sz w:val="28"/>
          <w:szCs w:val="28"/>
        </w:rPr>
        <w:t>Referanser</w:t>
      </w: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13"/>
        <w:gridCol w:w="6581"/>
      </w:tblGrid>
      <w:tr w:rsidR="00A56660" w:rsidTr="00A56660">
        <w:trPr>
          <w:trHeight w:val="253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</w:tcPr>
          <w:bookmarkEnd w:id="0"/>
          <w:p w:rsidR="00A56660" w:rsidRDefault="00A56660" w:rsidP="002E3DF6">
            <w:pPr>
              <w:pStyle w:val="StandardText"/>
            </w:pPr>
            <w:r>
              <w:rPr>
                <w:sz w:val="18"/>
                <w:szCs w:val="18"/>
              </w:rPr>
              <w:t>Format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A56660" w:rsidRDefault="00A56660" w:rsidP="002E3DF6">
            <w:pPr>
              <w:pStyle w:val="StandardText"/>
            </w:pPr>
            <w:r>
              <w:rPr>
                <w:sz w:val="18"/>
                <w:szCs w:val="18"/>
              </w:rPr>
              <w:t>Link</w:t>
            </w:r>
          </w:p>
        </w:tc>
      </w:tr>
      <w:tr w:rsidR="00A56660" w:rsidTr="002E3DF6">
        <w:trPr>
          <w:trHeight w:val="907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extBody"/>
              <w:spacing w:after="283"/>
            </w:pPr>
            <w:r>
              <w:rPr>
                <w:color w:val="1F497D"/>
                <w:sz w:val="18"/>
                <w:szCs w:val="18"/>
              </w:rPr>
              <w:t>EHF Ordre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5F45EE" w:rsidP="002E3DF6">
            <w:pPr>
              <w:pStyle w:val="TextBody"/>
              <w:spacing w:after="283"/>
            </w:pPr>
            <w:hyperlink r:id="rId8">
              <w:r w:rsidR="00A56660">
                <w:rPr>
                  <w:rStyle w:val="InternetLink"/>
                  <w:rFonts w:eastAsiaTheme="majorEastAsia"/>
                  <w:sz w:val="18"/>
                  <w:szCs w:val="18"/>
                </w:rPr>
                <w:t>https://github.com/difi/VEFAvalidatorConf/tree/master/STANDARD/EHFOrder</w:t>
              </w:r>
            </w:hyperlink>
            <w:r w:rsidR="00A56660">
              <w:rPr>
                <w:color w:val="1F497D"/>
                <w:sz w:val="18"/>
                <w:szCs w:val="18"/>
              </w:rPr>
              <w:t xml:space="preserve"> </w:t>
            </w:r>
          </w:p>
        </w:tc>
      </w:tr>
      <w:tr w:rsidR="00A56660" w:rsidTr="002E3DF6">
        <w:trPr>
          <w:trHeight w:val="907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extBody"/>
              <w:spacing w:after="283"/>
            </w:pPr>
            <w:r>
              <w:rPr>
                <w:color w:val="1F497D"/>
                <w:sz w:val="18"/>
                <w:szCs w:val="18"/>
              </w:rPr>
              <w:t>EHF Katalog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5F45EE" w:rsidP="002E3DF6">
            <w:pPr>
              <w:pStyle w:val="TextBody"/>
              <w:spacing w:after="283"/>
            </w:pPr>
            <w:hyperlink r:id="rId9">
              <w:r w:rsidR="00A56660">
                <w:rPr>
                  <w:rStyle w:val="InternetLink"/>
                  <w:rFonts w:eastAsiaTheme="majorEastAsia"/>
                  <w:sz w:val="18"/>
                  <w:szCs w:val="18"/>
                </w:rPr>
                <w:t>https://github.com/difi/VEFAvalidatorConf/tree/master/STANDARD/EHFCatalogue</w:t>
              </w:r>
            </w:hyperlink>
            <w:r w:rsidR="00A56660">
              <w:rPr>
                <w:color w:val="1F497D"/>
                <w:sz w:val="18"/>
                <w:szCs w:val="18"/>
              </w:rPr>
              <w:t xml:space="preserve"> </w:t>
            </w:r>
          </w:p>
        </w:tc>
      </w:tr>
      <w:tr w:rsidR="00A56660" w:rsidTr="002E3DF6">
        <w:trPr>
          <w:trHeight w:val="907"/>
        </w:trPr>
        <w:tc>
          <w:tcPr>
            <w:tcW w:w="1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extBody"/>
              <w:spacing w:after="283"/>
            </w:pPr>
            <w:r>
              <w:rPr>
                <w:color w:val="1F497D"/>
                <w:sz w:val="18"/>
                <w:szCs w:val="18"/>
              </w:rPr>
              <w:t>EHF Faktura</w:t>
            </w:r>
          </w:p>
        </w:tc>
        <w:tc>
          <w:tcPr>
            <w:tcW w:w="65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5F45EE" w:rsidP="002E3DF6">
            <w:pPr>
              <w:pStyle w:val="TextBody"/>
              <w:spacing w:after="283"/>
            </w:pPr>
            <w:hyperlink r:id="rId10">
              <w:r w:rsidR="00A56660">
                <w:rPr>
                  <w:rStyle w:val="InternetLink"/>
                  <w:rFonts w:eastAsiaTheme="majorEastAsia"/>
                  <w:sz w:val="18"/>
                  <w:szCs w:val="18"/>
                </w:rPr>
                <w:t>https://github.com/difi/VEFAvalidatorConf/tree/master/STANDARD/EHFInvoice</w:t>
              </w:r>
            </w:hyperlink>
            <w:r w:rsidR="00A56660">
              <w:rPr>
                <w:color w:val="1F497D"/>
                <w:sz w:val="18"/>
                <w:szCs w:val="18"/>
              </w:rPr>
              <w:t xml:space="preserve"> </w:t>
            </w:r>
          </w:p>
        </w:tc>
      </w:tr>
      <w:tr w:rsidR="00A56660" w:rsidTr="002E3DF6">
        <w:trPr>
          <w:trHeight w:val="907"/>
        </w:trPr>
        <w:tc>
          <w:tcPr>
            <w:tcW w:w="1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extBody"/>
              <w:spacing w:after="283"/>
            </w:pPr>
            <w:r>
              <w:rPr>
                <w:color w:val="1F497D"/>
                <w:sz w:val="18"/>
                <w:szCs w:val="18"/>
              </w:rPr>
              <w:t>EHF Kreditnota</w:t>
            </w:r>
          </w:p>
        </w:tc>
        <w:tc>
          <w:tcPr>
            <w:tcW w:w="65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5F45EE" w:rsidP="002E3DF6">
            <w:pPr>
              <w:pStyle w:val="TextBody"/>
              <w:spacing w:after="283"/>
            </w:pPr>
            <w:hyperlink r:id="rId11">
              <w:r w:rsidR="00A56660">
                <w:rPr>
                  <w:rStyle w:val="InternetLink"/>
                  <w:rFonts w:eastAsiaTheme="majorEastAsia"/>
                  <w:sz w:val="18"/>
                  <w:szCs w:val="18"/>
                </w:rPr>
                <w:t>https://github.com/difi/VEFAvalidatorConf/tree/master/STANDARD/EHFInvoice</w:t>
              </w:r>
            </w:hyperlink>
            <w:r w:rsidR="00A56660">
              <w:rPr>
                <w:color w:val="1F497D"/>
                <w:sz w:val="18"/>
                <w:szCs w:val="18"/>
              </w:rPr>
              <w:t xml:space="preserve"> </w:t>
            </w:r>
          </w:p>
        </w:tc>
      </w:tr>
      <w:tr w:rsidR="00A56660" w:rsidTr="002E3DF6">
        <w:trPr>
          <w:trHeight w:val="907"/>
        </w:trPr>
        <w:tc>
          <w:tcPr>
            <w:tcW w:w="1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A56660" w:rsidP="002E3DF6">
            <w:pPr>
              <w:pStyle w:val="TextBody"/>
              <w:spacing w:after="283"/>
            </w:pPr>
            <w:r>
              <w:rPr>
                <w:color w:val="1F497D"/>
                <w:sz w:val="18"/>
                <w:szCs w:val="18"/>
              </w:rPr>
              <w:t>PEPPOL infrastruktur</w:t>
            </w:r>
          </w:p>
        </w:tc>
        <w:tc>
          <w:tcPr>
            <w:tcW w:w="65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56660" w:rsidRDefault="005F45EE" w:rsidP="002E3DF6">
            <w:pPr>
              <w:pStyle w:val="TextBody"/>
              <w:spacing w:after="283"/>
            </w:pPr>
            <w:hyperlink r:id="rId12">
              <w:r w:rsidR="00A56660">
                <w:rPr>
                  <w:rStyle w:val="InternetLink"/>
                  <w:rFonts w:eastAsiaTheme="majorEastAsia"/>
                  <w:sz w:val="18"/>
                  <w:szCs w:val="18"/>
                </w:rPr>
                <w:t>http://www.peppol.eu/peppol_components/-transport-infrastructure</w:t>
              </w:r>
            </w:hyperlink>
            <w:r w:rsidR="00A56660">
              <w:rPr>
                <w:color w:val="1F497D"/>
                <w:sz w:val="18"/>
                <w:szCs w:val="18"/>
              </w:rPr>
              <w:t xml:space="preserve"> </w:t>
            </w:r>
          </w:p>
        </w:tc>
      </w:tr>
    </w:tbl>
    <w:p w:rsidR="003225A3" w:rsidRPr="00A56660" w:rsidRDefault="003225A3" w:rsidP="005901AA"/>
    <w:sectPr w:rsidR="003225A3" w:rsidRPr="00A5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774"/>
    <w:multiLevelType w:val="hybridMultilevel"/>
    <w:tmpl w:val="A9D0F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84ABF"/>
    <w:multiLevelType w:val="hybridMultilevel"/>
    <w:tmpl w:val="9C749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F3BD3"/>
    <w:multiLevelType w:val="hybridMultilevel"/>
    <w:tmpl w:val="AEAC8B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02FA0"/>
    <w:multiLevelType w:val="hybridMultilevel"/>
    <w:tmpl w:val="A87297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79C0"/>
    <w:multiLevelType w:val="multilevel"/>
    <w:tmpl w:val="AE30D21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AA"/>
    <w:rsid w:val="003225A3"/>
    <w:rsid w:val="005901AA"/>
    <w:rsid w:val="005F45EE"/>
    <w:rsid w:val="009B32C4"/>
    <w:rsid w:val="00A24F34"/>
    <w:rsid w:val="00A56660"/>
    <w:rsid w:val="00C61946"/>
    <w:rsid w:val="00E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AA"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01AA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01A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01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01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01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01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01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01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01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01AA"/>
    <w:rPr>
      <w:rFonts w:ascii="Arial" w:eastAsiaTheme="majorEastAsia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01AA"/>
    <w:rPr>
      <w:rFonts w:ascii="Arial" w:eastAsiaTheme="majorEastAsia" w:hAnsi="Arial" w:cs="Arial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0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90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901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901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901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901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90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Text">
    <w:name w:val="Standard Text"/>
    <w:basedOn w:val="Normal"/>
    <w:rsid w:val="005901AA"/>
    <w:pPr>
      <w:suppressAutoHyphens/>
      <w:spacing w:before="120" w:after="120"/>
      <w:textAlignment w:val="baseline"/>
    </w:pPr>
    <w:rPr>
      <w:rFonts w:eastAsia="Times New Roman" w:cs="Times New Roman"/>
      <w:sz w:val="20"/>
      <w:szCs w:val="20"/>
    </w:rPr>
  </w:style>
  <w:style w:type="paragraph" w:customStyle="1" w:styleId="Table">
    <w:name w:val="Table"/>
    <w:basedOn w:val="Normal"/>
    <w:rsid w:val="005901AA"/>
    <w:pPr>
      <w:suppressAutoHyphens/>
      <w:spacing w:before="60" w:after="60"/>
      <w:textAlignment w:val="baseline"/>
    </w:pPr>
    <w:rPr>
      <w:rFonts w:eastAsia="Times New Roman" w:cs="Times New Roman"/>
      <w:sz w:val="22"/>
      <w:szCs w:val="20"/>
    </w:rPr>
  </w:style>
  <w:style w:type="character" w:customStyle="1" w:styleId="InternetLink">
    <w:name w:val="Internet Link"/>
    <w:rsid w:val="005901A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901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901AA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A56660"/>
    <w:pPr>
      <w:tabs>
        <w:tab w:val="left" w:pos="-720"/>
      </w:tabs>
      <w:suppressAutoHyphens/>
      <w:spacing w:before="240" w:after="0"/>
      <w:jc w:val="both"/>
      <w:textAlignment w:val="baseline"/>
    </w:pPr>
    <w:rPr>
      <w:rFonts w:eastAsia="Times New Roman" w:cs="Times New Roman"/>
      <w:spacing w:val="-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AA"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01AA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01A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01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01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01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01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01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01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01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01AA"/>
    <w:rPr>
      <w:rFonts w:ascii="Arial" w:eastAsiaTheme="majorEastAsia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01AA"/>
    <w:rPr>
      <w:rFonts w:ascii="Arial" w:eastAsiaTheme="majorEastAsia" w:hAnsi="Arial" w:cs="Arial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0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90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901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901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901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901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90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Text">
    <w:name w:val="Standard Text"/>
    <w:basedOn w:val="Normal"/>
    <w:rsid w:val="005901AA"/>
    <w:pPr>
      <w:suppressAutoHyphens/>
      <w:spacing w:before="120" w:after="120"/>
      <w:textAlignment w:val="baseline"/>
    </w:pPr>
    <w:rPr>
      <w:rFonts w:eastAsia="Times New Roman" w:cs="Times New Roman"/>
      <w:sz w:val="20"/>
      <w:szCs w:val="20"/>
    </w:rPr>
  </w:style>
  <w:style w:type="paragraph" w:customStyle="1" w:styleId="Table">
    <w:name w:val="Table"/>
    <w:basedOn w:val="Normal"/>
    <w:rsid w:val="005901AA"/>
    <w:pPr>
      <w:suppressAutoHyphens/>
      <w:spacing w:before="60" w:after="60"/>
      <w:textAlignment w:val="baseline"/>
    </w:pPr>
    <w:rPr>
      <w:rFonts w:eastAsia="Times New Roman" w:cs="Times New Roman"/>
      <w:sz w:val="22"/>
      <w:szCs w:val="20"/>
    </w:rPr>
  </w:style>
  <w:style w:type="character" w:customStyle="1" w:styleId="InternetLink">
    <w:name w:val="Internet Link"/>
    <w:rsid w:val="005901A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901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901AA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A56660"/>
    <w:pPr>
      <w:tabs>
        <w:tab w:val="left" w:pos="-720"/>
      </w:tabs>
      <w:suppressAutoHyphens/>
      <w:spacing w:before="240" w:after="0"/>
      <w:jc w:val="both"/>
      <w:textAlignment w:val="baseline"/>
    </w:pPr>
    <w:rPr>
      <w:rFonts w:eastAsia="Times New Roman" w:cs="Times New Roman"/>
      <w:spacing w:val="-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ifi/VEFAvalidatorConf/tree/master/STANDARD/EHFOrd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skaffelser.no/elektronisk-handel/temaer-elektronisk-handel/klassifisering-unspsc" TargetMode="External"/><Relationship Id="rId12" Type="http://schemas.openxmlformats.org/officeDocument/2006/relationships/hyperlink" Target="http://www.peppol.eu/peppol_components/-transport-infrastruc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pol.eu/peppol_components" TargetMode="External"/><Relationship Id="rId11" Type="http://schemas.openxmlformats.org/officeDocument/2006/relationships/hyperlink" Target="https://github.com/difi/VEFAvalidatorConf/tree/master/STANDARD/EHFInvo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difi/VEFAvalidatorConf/tree/master/STANDARD/EHFInvo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difi/VEFAvalidatorConf/tree/master/STANDARD/EHFCatalog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2231</Words>
  <Characters>11829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Kjærsti Theodorsen</dc:creator>
  <cp:lastModifiedBy>Beate Eriksen</cp:lastModifiedBy>
  <cp:revision>6</cp:revision>
  <dcterms:created xsi:type="dcterms:W3CDTF">2017-02-17T18:27:00Z</dcterms:created>
  <dcterms:modified xsi:type="dcterms:W3CDTF">2018-08-20T06:27:00Z</dcterms:modified>
</cp:coreProperties>
</file>